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5080EF6D" w14:textId="77777777" w:rsidTr="00680392">
        <w:tc>
          <w:tcPr>
            <w:tcW w:w="2122" w:type="dxa"/>
          </w:tcPr>
          <w:p w14:paraId="384C646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65B49696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5C01EA28" w14:textId="628D1604" w:rsidR="006A7AD0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51271</w:t>
            </w:r>
          </w:p>
        </w:tc>
      </w:tr>
      <w:tr w:rsidR="00680392" w:rsidRPr="00680392" w14:paraId="5B54F5C2" w14:textId="77777777" w:rsidTr="00680392">
        <w:tc>
          <w:tcPr>
            <w:tcW w:w="2122" w:type="dxa"/>
          </w:tcPr>
          <w:p w14:paraId="7D6DFBD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7F635FBD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225CC096" w14:textId="144358FC" w:rsidR="006A7AD0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ZADAR</w:t>
            </w:r>
          </w:p>
        </w:tc>
      </w:tr>
      <w:tr w:rsidR="00680392" w:rsidRPr="00680392" w14:paraId="08C0DC8C" w14:textId="77777777" w:rsidTr="00680392">
        <w:tc>
          <w:tcPr>
            <w:tcW w:w="2122" w:type="dxa"/>
          </w:tcPr>
          <w:p w14:paraId="6565075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6FD68138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13283689" w14:textId="41FF1533" w:rsidR="006A7AD0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</w:tc>
      </w:tr>
      <w:tr w:rsidR="00680392" w:rsidRPr="00680392" w14:paraId="3033085E" w14:textId="77777777" w:rsidTr="00680392">
        <w:tc>
          <w:tcPr>
            <w:tcW w:w="2122" w:type="dxa"/>
          </w:tcPr>
          <w:p w14:paraId="69D991DE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5ABDD587" w14:textId="740F96E8" w:rsidR="00170E21" w:rsidRPr="00C8652C" w:rsidRDefault="00C8652C" w:rsidP="002A5175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1.siječnja 202</w:t>
            </w:r>
            <w:r w:rsidR="009503CB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 – 31. prosinca 202</w:t>
            </w:r>
            <w:r w:rsidR="009503CB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</w:t>
            </w:r>
          </w:p>
          <w:p w14:paraId="3FB57AC1" w14:textId="77777777" w:rsidR="006A7AD0" w:rsidRPr="00680392" w:rsidRDefault="006A7AD0" w:rsidP="002A5175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31FE2931" w14:textId="77777777" w:rsidTr="00680392">
        <w:tc>
          <w:tcPr>
            <w:tcW w:w="2122" w:type="dxa"/>
          </w:tcPr>
          <w:p w14:paraId="30D4D837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</w:tcPr>
          <w:p w14:paraId="70777631" w14:textId="22F3BB34" w:rsidR="00F2541C" w:rsidRPr="00680392" w:rsidRDefault="00C865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www.port-authority-zadar.hr</w:t>
            </w:r>
          </w:p>
        </w:tc>
      </w:tr>
    </w:tbl>
    <w:p w14:paraId="7E7F0C25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1F55A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E7F19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23CEB03C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B4BB295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0ECE3A" w14:textId="77777777" w:rsidR="004F6DF2" w:rsidRPr="00680392" w:rsidRDefault="004F6DF2">
          <w:pPr>
            <w:pStyle w:val="TOCHeading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7D0A6793" w14:textId="4ABA2F81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470CF" w14:textId="6FCD79B4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D87928" w14:textId="29A6EAA0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CEA11" w14:textId="7080FB42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9C75A8" w14:textId="298917A3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A5B96" w14:textId="7A93F255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8741E" w14:textId="4CD47095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B68A7" w14:textId="6AB2D2C9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AD2FE" w14:textId="5A1DDDA1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A3A6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3D2BB8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C31CB1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9308CE4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699D17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6054C0C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4433A55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12219DC8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EAEBF6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0F1794F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AC78997" w14:textId="77777777" w:rsidR="00170E21" w:rsidRPr="00036DEE" w:rsidRDefault="00170E21" w:rsidP="00036DEE">
      <w:pPr>
        <w:pStyle w:val="Heading1"/>
      </w:pPr>
      <w:bookmarkStart w:id="0" w:name="_Toc128989454"/>
      <w:r w:rsidRPr="00036DEE">
        <w:lastRenderedPageBreak/>
        <w:t>B I LJ E Š K E  U Z  B I L A N C U</w:t>
      </w:r>
      <w:bookmarkEnd w:id="0"/>
    </w:p>
    <w:p w14:paraId="63F6410B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792A2A78" w14:textId="77777777" w:rsidR="00170E21" w:rsidRDefault="00170E21" w:rsidP="00036DEE">
      <w:pPr>
        <w:pStyle w:val="Heading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61AC37E0" w14:textId="77777777" w:rsidR="00170E21" w:rsidRPr="00614260" w:rsidRDefault="00170E21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3F2A00AF" w14:textId="04BC1B79" w:rsidR="00614260" w:rsidRDefault="00B8127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870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CF43B3">
        <w:rPr>
          <w:rFonts w:ascii="Times New Roman" w:hAnsi="Times New Roman" w:cs="Times New Roman"/>
          <w:sz w:val="24"/>
          <w:szCs w:val="24"/>
        </w:rPr>
        <w:t xml:space="preserve">ulaganja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</w:t>
      </w:r>
      <w:r w:rsidR="00CF43B3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</w:t>
      </w:r>
      <w:r w:rsidR="00CF43B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imovin</w:t>
      </w:r>
      <w:r w:rsidR="00CF43B3">
        <w:rPr>
          <w:rFonts w:ascii="Times New Roman" w:hAnsi="Times New Roman" w:cs="Times New Roman"/>
          <w:sz w:val="24"/>
          <w:szCs w:val="24"/>
        </w:rPr>
        <w:t>u iznosila su 64.275,00 eura te se odnose na</w:t>
      </w:r>
      <w:r w:rsidR="00CF43B3" w:rsidRPr="00CF43B3">
        <w:rPr>
          <w:rFonts w:ascii="Times New Roman" w:hAnsi="Times New Roman" w:cs="Times New Roman"/>
          <w:sz w:val="24"/>
          <w:szCs w:val="24"/>
        </w:rPr>
        <w:t xml:space="preserve"> </w:t>
      </w:r>
      <w:r w:rsidR="00CF43B3">
        <w:rPr>
          <w:rFonts w:ascii="Times New Roman" w:hAnsi="Times New Roman" w:cs="Times New Roman"/>
          <w:sz w:val="24"/>
          <w:szCs w:val="24"/>
        </w:rPr>
        <w:t xml:space="preserve">ulaganja </w:t>
      </w:r>
      <w:r w:rsidR="00CF43B3" w:rsidRPr="00CF43B3">
        <w:rPr>
          <w:rFonts w:ascii="Times New Roman" w:hAnsi="Times New Roman" w:cs="Times New Roman"/>
          <w:sz w:val="24"/>
          <w:szCs w:val="24"/>
        </w:rPr>
        <w:t xml:space="preserve">u licence u iznosu 52.025,00 eura </w:t>
      </w:r>
      <w:r w:rsidR="00CF43B3">
        <w:rPr>
          <w:rFonts w:ascii="Times New Roman" w:hAnsi="Times New Roman" w:cs="Times New Roman"/>
          <w:sz w:val="24"/>
          <w:szCs w:val="24"/>
        </w:rPr>
        <w:t>(</w:t>
      </w:r>
      <w:r w:rsidR="00CF43B3" w:rsidRPr="00CF43B3">
        <w:rPr>
          <w:rFonts w:ascii="Times New Roman" w:hAnsi="Times New Roman" w:cs="Times New Roman"/>
          <w:sz w:val="24"/>
          <w:szCs w:val="24"/>
        </w:rPr>
        <w:t>procjen</w:t>
      </w:r>
      <w:r w:rsidR="00CF43B3">
        <w:rPr>
          <w:rFonts w:ascii="Times New Roman" w:hAnsi="Times New Roman" w:cs="Times New Roman"/>
          <w:sz w:val="24"/>
          <w:szCs w:val="24"/>
        </w:rPr>
        <w:t>a</w:t>
      </w:r>
      <w:r w:rsidR="00CF43B3" w:rsidRPr="00CF43B3">
        <w:rPr>
          <w:rFonts w:ascii="Times New Roman" w:hAnsi="Times New Roman" w:cs="Times New Roman"/>
          <w:sz w:val="24"/>
          <w:szCs w:val="24"/>
        </w:rPr>
        <w:t xml:space="preserve"> sigurnosne zaštite lučkih područja pod upravom Lučke uprave Zadar </w:t>
      </w:r>
      <w:r w:rsidR="000E0A5B">
        <w:rPr>
          <w:rFonts w:ascii="Times New Roman" w:hAnsi="Times New Roman" w:cs="Times New Roman"/>
          <w:sz w:val="24"/>
          <w:szCs w:val="24"/>
        </w:rPr>
        <w:t>u iznosu</w:t>
      </w:r>
      <w:r w:rsidR="00CF43B3">
        <w:rPr>
          <w:rFonts w:ascii="Times New Roman" w:hAnsi="Times New Roman" w:cs="Times New Roman"/>
          <w:sz w:val="24"/>
          <w:szCs w:val="24"/>
        </w:rPr>
        <w:t xml:space="preserve"> </w:t>
      </w:r>
      <w:r w:rsidR="00CF43B3" w:rsidRPr="00CF43B3">
        <w:rPr>
          <w:rFonts w:ascii="Times New Roman" w:hAnsi="Times New Roman" w:cs="Times New Roman"/>
          <w:sz w:val="24"/>
          <w:szCs w:val="24"/>
        </w:rPr>
        <w:t xml:space="preserve">21.400,00 eura te uspostavljanje sustava upravljanja imovinom </w:t>
      </w:r>
      <w:r w:rsidR="000E0A5B">
        <w:rPr>
          <w:rFonts w:ascii="Times New Roman" w:hAnsi="Times New Roman" w:cs="Times New Roman"/>
          <w:sz w:val="24"/>
          <w:szCs w:val="24"/>
        </w:rPr>
        <w:t xml:space="preserve">u iznosu </w:t>
      </w:r>
      <w:r w:rsidR="00CF43B3" w:rsidRPr="00CF43B3">
        <w:rPr>
          <w:rFonts w:ascii="Times New Roman" w:hAnsi="Times New Roman" w:cs="Times New Roman"/>
          <w:sz w:val="24"/>
          <w:szCs w:val="24"/>
        </w:rPr>
        <w:t>30.625,00 eura)</w:t>
      </w:r>
      <w:r w:rsidR="00CF43B3">
        <w:rPr>
          <w:rFonts w:ascii="Times New Roman" w:hAnsi="Times New Roman" w:cs="Times New Roman"/>
          <w:sz w:val="24"/>
          <w:szCs w:val="24"/>
        </w:rPr>
        <w:t xml:space="preserve"> </w:t>
      </w:r>
      <w:r w:rsidR="00CF43B3" w:rsidRPr="00CF43B3">
        <w:rPr>
          <w:rFonts w:ascii="Times New Roman" w:hAnsi="Times New Roman" w:cs="Times New Roman"/>
          <w:sz w:val="24"/>
          <w:szCs w:val="24"/>
        </w:rPr>
        <w:t>te ulaganja u ostalu nematerijalnu imovinu u iznosu 12.250,00 eura</w:t>
      </w:r>
      <w:r w:rsidR="00CF43B3">
        <w:rPr>
          <w:rFonts w:ascii="Times New Roman" w:hAnsi="Times New Roman" w:cs="Times New Roman"/>
          <w:sz w:val="24"/>
          <w:szCs w:val="24"/>
        </w:rPr>
        <w:t xml:space="preserve"> (</w:t>
      </w:r>
      <w:r w:rsidR="00CF43B3" w:rsidRPr="00CF43B3">
        <w:rPr>
          <w:rFonts w:ascii="Times New Roman" w:hAnsi="Times New Roman" w:cs="Times New Roman"/>
          <w:sz w:val="24"/>
          <w:szCs w:val="24"/>
        </w:rPr>
        <w:t xml:space="preserve">usluge izrade I. faze </w:t>
      </w:r>
      <w:proofErr w:type="spellStart"/>
      <w:r w:rsidR="00CF43B3" w:rsidRPr="00CF43B3">
        <w:rPr>
          <w:rFonts w:ascii="Times New Roman" w:hAnsi="Times New Roman" w:cs="Times New Roman"/>
          <w:sz w:val="24"/>
          <w:szCs w:val="24"/>
        </w:rPr>
        <w:t>masterplana</w:t>
      </w:r>
      <w:proofErr w:type="spellEnd"/>
      <w:r w:rsidR="00CF43B3" w:rsidRPr="00CF43B3">
        <w:rPr>
          <w:rFonts w:ascii="Times New Roman" w:hAnsi="Times New Roman" w:cs="Times New Roman"/>
          <w:sz w:val="24"/>
          <w:szCs w:val="24"/>
        </w:rPr>
        <w:t xml:space="preserve"> razvoja teretne luke</w:t>
      </w:r>
      <w:r w:rsidR="00CF43B3">
        <w:rPr>
          <w:rFonts w:ascii="Times New Roman" w:hAnsi="Times New Roman" w:cs="Times New Roman"/>
          <w:sz w:val="24"/>
          <w:szCs w:val="24"/>
        </w:rPr>
        <w:t>)</w:t>
      </w:r>
      <w:r w:rsidR="00CF43B3" w:rsidRPr="00CF43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91091" w14:textId="77777777" w:rsidR="0069302A" w:rsidRPr="00614260" w:rsidRDefault="0069302A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3C4C5541" w14:textId="1EA11DDA" w:rsidR="00614260" w:rsidRDefault="00B8127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1273">
        <w:rPr>
          <w:rFonts w:ascii="Times New Roman" w:hAnsi="Times New Roman" w:cs="Times New Roman"/>
          <w:sz w:val="24"/>
          <w:szCs w:val="24"/>
        </w:rPr>
        <w:t>U 202</w:t>
      </w:r>
      <w:r w:rsidR="00DB3CC4">
        <w:rPr>
          <w:rFonts w:ascii="Times New Roman" w:hAnsi="Times New Roman" w:cs="Times New Roman"/>
          <w:sz w:val="24"/>
          <w:szCs w:val="24"/>
        </w:rPr>
        <w:t>4</w:t>
      </w:r>
      <w:r w:rsidRPr="00B81273">
        <w:rPr>
          <w:rFonts w:ascii="Times New Roman" w:hAnsi="Times New Roman" w:cs="Times New Roman"/>
          <w:sz w:val="24"/>
          <w:szCs w:val="24"/>
        </w:rPr>
        <w:t xml:space="preserve">. godini </w:t>
      </w:r>
      <w:r w:rsidR="00DB3CC4">
        <w:rPr>
          <w:rFonts w:ascii="Times New Roman" w:hAnsi="Times New Roman" w:cs="Times New Roman"/>
          <w:sz w:val="24"/>
          <w:szCs w:val="24"/>
        </w:rPr>
        <w:t>ulaganja u</w:t>
      </w:r>
      <w:r w:rsidR="00326891">
        <w:rPr>
          <w:rFonts w:ascii="Times New Roman" w:hAnsi="Times New Roman" w:cs="Times New Roman"/>
          <w:sz w:val="24"/>
          <w:szCs w:val="24"/>
        </w:rPr>
        <w:t xml:space="preserve"> </w:t>
      </w:r>
      <w:r w:rsidRPr="00B81273">
        <w:rPr>
          <w:rFonts w:ascii="Times New Roman" w:hAnsi="Times New Roman" w:cs="Times New Roman"/>
          <w:sz w:val="24"/>
          <w:szCs w:val="24"/>
        </w:rPr>
        <w:t>proizveden</w:t>
      </w:r>
      <w:r w:rsidR="00DB3CC4">
        <w:rPr>
          <w:rFonts w:ascii="Times New Roman" w:hAnsi="Times New Roman" w:cs="Times New Roman"/>
          <w:sz w:val="24"/>
          <w:szCs w:val="24"/>
        </w:rPr>
        <w:t>u</w:t>
      </w:r>
      <w:r w:rsidRPr="00B81273">
        <w:rPr>
          <w:rFonts w:ascii="Times New Roman" w:hAnsi="Times New Roman" w:cs="Times New Roman"/>
          <w:sz w:val="24"/>
          <w:szCs w:val="24"/>
        </w:rPr>
        <w:t xml:space="preserve"> dugotrajn</w:t>
      </w:r>
      <w:r w:rsidR="00DB3CC4">
        <w:rPr>
          <w:rFonts w:ascii="Times New Roman" w:hAnsi="Times New Roman" w:cs="Times New Roman"/>
          <w:sz w:val="24"/>
          <w:szCs w:val="24"/>
        </w:rPr>
        <w:t>u</w:t>
      </w:r>
      <w:r w:rsidRPr="00B81273">
        <w:rPr>
          <w:rFonts w:ascii="Times New Roman" w:hAnsi="Times New Roman" w:cs="Times New Roman"/>
          <w:sz w:val="24"/>
          <w:szCs w:val="24"/>
        </w:rPr>
        <w:t xml:space="preserve"> imovin</w:t>
      </w:r>
      <w:r w:rsidR="00DB3CC4">
        <w:rPr>
          <w:rFonts w:ascii="Times New Roman" w:hAnsi="Times New Roman" w:cs="Times New Roman"/>
          <w:sz w:val="24"/>
          <w:szCs w:val="24"/>
        </w:rPr>
        <w:t xml:space="preserve">u iznosila su </w:t>
      </w:r>
      <w:r w:rsidR="005028DE">
        <w:rPr>
          <w:rFonts w:ascii="Times New Roman" w:hAnsi="Times New Roman" w:cs="Times New Roman"/>
          <w:sz w:val="24"/>
          <w:szCs w:val="24"/>
        </w:rPr>
        <w:t xml:space="preserve">299.925,89 </w:t>
      </w:r>
      <w:r w:rsidR="00326891">
        <w:rPr>
          <w:rFonts w:ascii="Times New Roman" w:hAnsi="Times New Roman" w:cs="Times New Roman"/>
          <w:sz w:val="24"/>
          <w:szCs w:val="24"/>
        </w:rPr>
        <w:t>eura</w:t>
      </w:r>
      <w:r w:rsidR="005028DE">
        <w:rPr>
          <w:rFonts w:ascii="Times New Roman" w:hAnsi="Times New Roman" w:cs="Times New Roman"/>
          <w:sz w:val="24"/>
          <w:szCs w:val="24"/>
        </w:rPr>
        <w:t>. U okviru ovih ulaganja su radovi na izgradnji i montaži čelične prilazne rampe uz gat 2 u putničkoj luci Gaženica u iznosu 172.365,00 eura te radovi na stabilizaciji blokova čuvara na Obali Petra Krešimira IV</w:t>
      </w:r>
      <w:r w:rsidR="0003627A">
        <w:rPr>
          <w:rFonts w:ascii="Times New Roman" w:hAnsi="Times New Roman" w:cs="Times New Roman"/>
          <w:sz w:val="24"/>
          <w:szCs w:val="24"/>
        </w:rPr>
        <w:t>.</w:t>
      </w:r>
      <w:r w:rsidR="005028DE">
        <w:rPr>
          <w:rFonts w:ascii="Times New Roman" w:hAnsi="Times New Roman" w:cs="Times New Roman"/>
          <w:sz w:val="24"/>
          <w:szCs w:val="24"/>
        </w:rPr>
        <w:t xml:space="preserve"> u iznosu 67.500,00 eura. </w:t>
      </w:r>
      <w:r w:rsidR="00326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F84F7" w14:textId="77777777" w:rsidR="006A7AD0" w:rsidRPr="00614260" w:rsidRDefault="006A7AD0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6C4CD636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AC2D7B1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D987B9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6D3A7134" w14:textId="5A803BC7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U 202</w:t>
      </w:r>
      <w:r w:rsidR="006E789D">
        <w:rPr>
          <w:rFonts w:ascii="Times New Roman" w:hAnsi="Times New Roman" w:cs="Times New Roman"/>
          <w:sz w:val="24"/>
          <w:szCs w:val="24"/>
        </w:rPr>
        <w:t>4</w:t>
      </w:r>
      <w:r w:rsidRPr="00562579">
        <w:rPr>
          <w:rFonts w:ascii="Times New Roman" w:hAnsi="Times New Roman" w:cs="Times New Roman"/>
          <w:sz w:val="24"/>
          <w:szCs w:val="24"/>
        </w:rPr>
        <w:t>. godini izvršena su ulaganja u građevinske objek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562579">
        <w:rPr>
          <w:rFonts w:ascii="Times New Roman" w:hAnsi="Times New Roman" w:cs="Times New Roman"/>
          <w:sz w:val="24"/>
          <w:szCs w:val="24"/>
        </w:rPr>
        <w:t xml:space="preserve"> u pripremi u iznosu </w:t>
      </w:r>
      <w:r w:rsidR="00CF43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43B3">
        <w:rPr>
          <w:rFonts w:ascii="Times New Roman" w:hAnsi="Times New Roman" w:cs="Times New Roman"/>
          <w:sz w:val="24"/>
          <w:szCs w:val="24"/>
        </w:rPr>
        <w:t>974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43B3">
        <w:rPr>
          <w:rFonts w:ascii="Times New Roman" w:hAnsi="Times New Roman" w:cs="Times New Roman"/>
          <w:sz w:val="24"/>
          <w:szCs w:val="24"/>
        </w:rPr>
        <w:t>231,38</w:t>
      </w:r>
      <w:r>
        <w:rPr>
          <w:rFonts w:ascii="Times New Roman" w:hAnsi="Times New Roman" w:cs="Times New Roman"/>
          <w:sz w:val="24"/>
          <w:szCs w:val="24"/>
        </w:rPr>
        <w:t xml:space="preserve"> eura kako slijedi:</w:t>
      </w:r>
      <w:r w:rsidRPr="00562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5C31C" w14:textId="319F3AF9" w:rsidR="00562579" w:rsidRPr="00562579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2C28D11" w14:textId="5D1960B0" w:rsidR="00562579" w:rsidRPr="00CF43B3" w:rsidRDefault="00562579" w:rsidP="00BD09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62579">
        <w:rPr>
          <w:rFonts w:ascii="Times New Roman" w:hAnsi="Times New Roman" w:cs="Times New Roman"/>
          <w:sz w:val="24"/>
          <w:szCs w:val="24"/>
        </w:rPr>
        <w:t>-</w:t>
      </w:r>
      <w:r w:rsidRPr="00562579">
        <w:rPr>
          <w:rFonts w:ascii="Times New Roman" w:hAnsi="Times New Roman" w:cs="Times New Roman"/>
          <w:sz w:val="24"/>
          <w:szCs w:val="24"/>
        </w:rPr>
        <w:tab/>
      </w:r>
      <w:r w:rsidRPr="00CF43B3">
        <w:rPr>
          <w:rFonts w:ascii="Times New Roman" w:hAnsi="Times New Roman" w:cs="Times New Roman"/>
          <w:smallCaps/>
          <w:sz w:val="24"/>
          <w:szCs w:val="24"/>
        </w:rPr>
        <w:t>RIBARSKA LUKA VELA LAMJANA, KALI - FAZA 2 - POVEĆANJE KVALITETE, KONTROLE I SLJEDIVOSTI ISKRCAJA RIBARSKIH PLOVILA LUKE VELA LAMJANA, KALI</w:t>
      </w:r>
      <w:r w:rsidRPr="00CF43B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2" w:name="_Hlk189223686"/>
      <w:r w:rsidRPr="00CF43B3">
        <w:rPr>
          <w:rFonts w:ascii="Times New Roman" w:hAnsi="Times New Roman" w:cs="Times New Roman"/>
          <w:sz w:val="24"/>
          <w:szCs w:val="24"/>
        </w:rPr>
        <w:t>2.</w:t>
      </w:r>
      <w:r w:rsidR="0021226E" w:rsidRPr="00CF43B3">
        <w:rPr>
          <w:rFonts w:ascii="Times New Roman" w:hAnsi="Times New Roman" w:cs="Times New Roman"/>
          <w:sz w:val="24"/>
          <w:szCs w:val="24"/>
        </w:rPr>
        <w:t>819.605,37</w:t>
      </w:r>
      <w:r w:rsidRPr="00CF43B3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B6915E7" w14:textId="77777777" w:rsidR="00DD4107" w:rsidRDefault="0056257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F43B3">
        <w:rPr>
          <w:rFonts w:ascii="Times New Roman" w:hAnsi="Times New Roman" w:cs="Times New Roman"/>
          <w:sz w:val="24"/>
          <w:szCs w:val="24"/>
        </w:rPr>
        <w:t>-</w:t>
      </w:r>
      <w:r w:rsidRPr="00CF43B3">
        <w:rPr>
          <w:rFonts w:ascii="Times New Roman" w:hAnsi="Times New Roman" w:cs="Times New Roman"/>
          <w:sz w:val="24"/>
          <w:szCs w:val="24"/>
        </w:rPr>
        <w:tab/>
      </w:r>
      <w:r w:rsidR="001B4A78" w:rsidRPr="00CF43B3">
        <w:rPr>
          <w:rFonts w:ascii="Times New Roman" w:hAnsi="Times New Roman" w:cs="Times New Roman"/>
          <w:sz w:val="24"/>
          <w:szCs w:val="24"/>
        </w:rPr>
        <w:t xml:space="preserve">Ulaganja u sanaciju, rekonstrukciju i modernizaciju teretne luke Gaženica  </w:t>
      </w:r>
      <w:r w:rsidRPr="00CF43B3">
        <w:rPr>
          <w:rFonts w:ascii="Times New Roman" w:hAnsi="Times New Roman" w:cs="Times New Roman"/>
          <w:sz w:val="24"/>
          <w:szCs w:val="24"/>
        </w:rPr>
        <w:t>– 19</w:t>
      </w:r>
      <w:r w:rsidR="00DD4107" w:rsidRPr="00CF43B3">
        <w:rPr>
          <w:rFonts w:ascii="Times New Roman" w:hAnsi="Times New Roman" w:cs="Times New Roman"/>
          <w:sz w:val="24"/>
          <w:szCs w:val="24"/>
        </w:rPr>
        <w:t>4</w:t>
      </w:r>
      <w:r w:rsidRPr="00CF43B3">
        <w:rPr>
          <w:rFonts w:ascii="Times New Roman" w:hAnsi="Times New Roman" w:cs="Times New Roman"/>
          <w:sz w:val="24"/>
          <w:szCs w:val="24"/>
        </w:rPr>
        <w:t>.</w:t>
      </w:r>
      <w:r w:rsidR="00DD4107" w:rsidRPr="00CF43B3">
        <w:rPr>
          <w:rFonts w:ascii="Times New Roman" w:hAnsi="Times New Roman" w:cs="Times New Roman"/>
          <w:sz w:val="24"/>
          <w:szCs w:val="24"/>
        </w:rPr>
        <w:t>888</w:t>
      </w:r>
      <w:r w:rsidRPr="00CF43B3">
        <w:rPr>
          <w:rFonts w:ascii="Times New Roman" w:hAnsi="Times New Roman" w:cs="Times New Roman"/>
          <w:sz w:val="24"/>
          <w:szCs w:val="24"/>
        </w:rPr>
        <w:t>,5</w:t>
      </w:r>
      <w:r w:rsidR="00DD4107" w:rsidRPr="00CF43B3">
        <w:rPr>
          <w:rFonts w:ascii="Times New Roman" w:hAnsi="Times New Roman" w:cs="Times New Roman"/>
          <w:sz w:val="24"/>
          <w:szCs w:val="24"/>
        </w:rPr>
        <w:t>2</w:t>
      </w:r>
      <w:r w:rsidRPr="00CF43B3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CAA9CFF" w14:textId="5CB06F20" w:rsidR="00562579" w:rsidRDefault="00DD4107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Ulaganja u svrhu uspostavljanja Sustav za mjerenje kvalitete zraka </w:t>
      </w:r>
      <w:r w:rsidR="00BD09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996">
        <w:rPr>
          <w:rFonts w:ascii="Times New Roman" w:hAnsi="Times New Roman" w:cs="Times New Roman"/>
          <w:sz w:val="24"/>
          <w:szCs w:val="24"/>
        </w:rPr>
        <w:t>100.950,00 eura</w:t>
      </w:r>
      <w:r w:rsidR="00562579" w:rsidRPr="00562579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431FFF51" w14:textId="77777777" w:rsidR="00DD4107" w:rsidRDefault="00DD4107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38D006" w14:textId="0E317943" w:rsidR="00614260" w:rsidRDefault="00A31869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14DEC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67251D" w14:textId="77777777" w:rsidR="006A7AD0" w:rsidRPr="0061426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0E077CD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4DEE05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B11772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1CDD6441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5BE468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565EF9" w14:textId="67707A9A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</w:t>
      </w:r>
      <w:proofErr w:type="spellStart"/>
      <w:r>
        <w:rPr>
          <w:rFonts w:ascii="Times New Roman" w:hAnsi="Times New Roman" w:cs="Times New Roman"/>
          <w:sz w:val="24"/>
          <w:szCs w:val="24"/>
        </w:rPr>
        <w:t>jamčevni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00862D3C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68201CE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48C1FB8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7EA999A6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B78844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77146B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18574668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34CF15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F94785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4939B2E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5920072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27E0CC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4DE79B3F" w14:textId="327F888E" w:rsidR="00614260" w:rsidRDefault="00A97F95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97F95">
        <w:drawing>
          <wp:inline distT="0" distB="0" distL="0" distR="0" wp14:anchorId="20C46E83" wp14:editId="07AC05A1">
            <wp:extent cx="5981700" cy="1276350"/>
            <wp:effectExtent l="0" t="0" r="0" b="0"/>
            <wp:docPr id="7372826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891" w:rsidRPr="00326891">
        <w:t xml:space="preserve"> </w:t>
      </w:r>
      <w:r w:rsidR="00326891" w:rsidRPr="00326891">
        <w:rPr>
          <w:rFonts w:ascii="Times New Roman" w:hAnsi="Times New Roman" w:cs="Times New Roman"/>
          <w:sz w:val="24"/>
          <w:szCs w:val="24"/>
        </w:rPr>
        <w:t>Potraživanja u bilanci smanjena su uslijed obračuna ispravka vrijednosti koji je proveden sukladno čl. 37.a. Pravilnika o proračunskom računovodstvu po kriterijima kašnjenja u naplati preko godinu dana</w:t>
      </w:r>
    </w:p>
    <w:p w14:paraId="493B8F03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CEA38BD" w14:textId="77777777" w:rsidR="006A7AD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108F6B8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1DBF3C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3E57C9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33BA7E9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496D553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8297A8" w14:textId="77777777" w:rsidR="00680392" w:rsidRDefault="00680392" w:rsidP="00036DEE">
      <w:pPr>
        <w:pStyle w:val="Heading2"/>
      </w:pPr>
      <w:bookmarkStart w:id="3" w:name="_Toc128989456"/>
    </w:p>
    <w:p w14:paraId="22010550" w14:textId="77777777" w:rsidR="0069302A" w:rsidRPr="00036DEE" w:rsidRDefault="001D4818" w:rsidP="00036DEE">
      <w:pPr>
        <w:pStyle w:val="Heading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3"/>
    </w:p>
    <w:p w14:paraId="1C359C84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67750CDD" w14:textId="750AC23A" w:rsidR="00064C4E" w:rsidRPr="00064C4E" w:rsidRDefault="003C38E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rashode poslovanja iznosile su </w:t>
      </w:r>
      <w:r w:rsidR="001D2D71">
        <w:rPr>
          <w:rFonts w:ascii="Times New Roman" w:hAnsi="Times New Roman" w:cs="Times New Roman"/>
          <w:sz w:val="24"/>
          <w:szCs w:val="24"/>
        </w:rPr>
        <w:t>259.644,68</w:t>
      </w:r>
      <w:r>
        <w:rPr>
          <w:rFonts w:ascii="Times New Roman" w:hAnsi="Times New Roman" w:cs="Times New Roman"/>
          <w:sz w:val="24"/>
          <w:szCs w:val="24"/>
        </w:rPr>
        <w:t xml:space="preserve"> eura. U strukturi obveza za rashode poslovanja najveći dio se odnosi na plaću zaposlenika za prosinac 202</w:t>
      </w:r>
      <w:r w:rsidR="001D2D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1D2D71">
        <w:rPr>
          <w:rFonts w:ascii="Times New Roman" w:hAnsi="Times New Roman" w:cs="Times New Roman"/>
          <w:sz w:val="24"/>
          <w:szCs w:val="24"/>
        </w:rPr>
        <w:t>117.496,69</w:t>
      </w:r>
      <w:r>
        <w:rPr>
          <w:rFonts w:ascii="Times New Roman" w:hAnsi="Times New Roman" w:cs="Times New Roman"/>
          <w:sz w:val="24"/>
          <w:szCs w:val="24"/>
        </w:rPr>
        <w:t xml:space="preserve"> eura te na obveze za materijalne rashode u iznosu </w:t>
      </w:r>
      <w:r w:rsidR="001D2D71">
        <w:rPr>
          <w:rFonts w:ascii="Times New Roman" w:hAnsi="Times New Roman" w:cs="Times New Roman"/>
          <w:sz w:val="24"/>
          <w:szCs w:val="24"/>
        </w:rPr>
        <w:t>125.108,52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07B5C4B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lastRenderedPageBreak/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67907333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D0654" w14:textId="0465740A" w:rsidR="00064C4E" w:rsidRPr="00064C4E" w:rsidRDefault="003C38EC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nabavu nefinancijske imovine iznose 1</w:t>
      </w:r>
      <w:r w:rsidR="001D2D71">
        <w:rPr>
          <w:rFonts w:ascii="Times New Roman" w:hAnsi="Times New Roman" w:cs="Times New Roman"/>
          <w:sz w:val="24"/>
          <w:szCs w:val="24"/>
        </w:rPr>
        <w:t>.429,69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D2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8900C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529AD36E" w14:textId="2A3CB649" w:rsidR="00064C4E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Ukupne obveze za kredite i zajmove Lučke uprave Zadar na dan 31.12.202</w:t>
      </w:r>
      <w:r w:rsidR="007367AD">
        <w:rPr>
          <w:rFonts w:ascii="Times New Roman" w:eastAsia="Calibri" w:hAnsi="Times New Roman" w:cs="Times New Roman"/>
          <w:sz w:val="24"/>
          <w:szCs w:val="24"/>
          <w:lang w:eastAsia="en-GB"/>
        </w:rPr>
        <w:t>4</w:t>
      </w: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. godine iznose </w:t>
      </w:r>
      <w:r w:rsidR="007367AD">
        <w:rPr>
          <w:rFonts w:ascii="Times New Roman" w:eastAsia="Calibri" w:hAnsi="Times New Roman" w:cs="Times New Roman"/>
          <w:sz w:val="24"/>
          <w:szCs w:val="24"/>
          <w:lang w:eastAsia="en-GB"/>
        </w:rPr>
        <w:t>48</w:t>
      </w: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  <w:r w:rsidR="007367AD">
        <w:rPr>
          <w:rFonts w:ascii="Times New Roman" w:eastAsia="Calibri" w:hAnsi="Times New Roman" w:cs="Times New Roman"/>
          <w:sz w:val="24"/>
          <w:szCs w:val="24"/>
          <w:lang w:eastAsia="en-GB"/>
        </w:rPr>
        <w:t>062</w:t>
      </w: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  <w:r w:rsidR="007367AD">
        <w:rPr>
          <w:rFonts w:ascii="Times New Roman" w:eastAsia="Calibri" w:hAnsi="Times New Roman" w:cs="Times New Roman"/>
          <w:sz w:val="24"/>
          <w:szCs w:val="24"/>
          <w:lang w:eastAsia="en-GB"/>
        </w:rPr>
        <w:t>101</w:t>
      </w:r>
      <w:r w:rsidR="001D2D71">
        <w:rPr>
          <w:rFonts w:ascii="Times New Roman" w:eastAsia="Calibri" w:hAnsi="Times New Roman" w:cs="Times New Roman"/>
          <w:sz w:val="24"/>
          <w:szCs w:val="24"/>
          <w:lang w:eastAsia="en-GB"/>
        </w:rPr>
        <w:t>,40</w:t>
      </w:r>
      <w:r w:rsidR="007367AD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eura i odnose se na obveze po zajmu Europske investicijske banke br. 24.093 kojim je izgrađena Nova luka Zadar, Gaženica.</w:t>
      </w:r>
    </w:p>
    <w:p w14:paraId="2787A86A" w14:textId="112D7AB1" w:rsidR="00FC6049" w:rsidRDefault="007367AD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367AD">
        <w:drawing>
          <wp:inline distT="0" distB="0" distL="0" distR="0" wp14:anchorId="209910B3" wp14:editId="7081424C">
            <wp:extent cx="5848350" cy="466725"/>
            <wp:effectExtent l="0" t="0" r="0" b="9525"/>
            <wp:docPr id="382704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7AD">
        <w:t xml:space="preserve"> </w:t>
      </w:r>
    </w:p>
    <w:p w14:paraId="61C855C6" w14:textId="182A2100" w:rsidR="00FC6049" w:rsidRPr="00FC6049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C6049">
        <w:rPr>
          <w:rFonts w:ascii="Times New Roman" w:eastAsia="Calibri" w:hAnsi="Times New Roman" w:cs="Times New Roman"/>
          <w:sz w:val="24"/>
          <w:szCs w:val="24"/>
          <w:lang w:eastAsia="en-GB"/>
        </w:rPr>
        <w:t>Zajam Europske investicijske banke je izdan uz jamstvo Vlade Republike Hrvatske.</w:t>
      </w:r>
    </w:p>
    <w:p w14:paraId="18AE1036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B094A6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59438483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3F7820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F011A2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E13B8F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2AB6B045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95204E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D0536FD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6238D50D" w14:textId="7BAF884A" w:rsidR="00326891" w:rsidRDefault="00EC5937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5937">
        <w:drawing>
          <wp:inline distT="0" distB="0" distL="0" distR="0" wp14:anchorId="5D1AD561" wp14:editId="0FAC3562">
            <wp:extent cx="6120130" cy="1214120"/>
            <wp:effectExtent l="0" t="0" r="0" b="5080"/>
            <wp:docPr id="1990924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7211" w14:textId="3792E745" w:rsidR="00326891" w:rsidRPr="00326891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rFonts w:ascii="Times New Roman" w:hAnsi="Times New Roman" w:cs="Times New Roman"/>
          <w:sz w:val="24"/>
          <w:szCs w:val="24"/>
        </w:rPr>
        <w:t>Tijekom 202</w:t>
      </w:r>
      <w:r w:rsidR="00EC5937">
        <w:rPr>
          <w:rFonts w:ascii="Times New Roman" w:hAnsi="Times New Roman" w:cs="Times New Roman"/>
          <w:sz w:val="24"/>
          <w:szCs w:val="24"/>
        </w:rPr>
        <w:t>4</w:t>
      </w:r>
      <w:r w:rsidRPr="00326891">
        <w:rPr>
          <w:rFonts w:ascii="Times New Roman" w:hAnsi="Times New Roman" w:cs="Times New Roman"/>
          <w:sz w:val="24"/>
          <w:szCs w:val="24"/>
        </w:rPr>
        <w:t xml:space="preserve">. godine na računima kapitalnih prijenosa sredstava evidentirani su prihodi u iznosu </w:t>
      </w:r>
      <w:r w:rsidR="00EC5937">
        <w:rPr>
          <w:rFonts w:ascii="Times New Roman" w:hAnsi="Times New Roman" w:cs="Times New Roman"/>
          <w:sz w:val="24"/>
          <w:szCs w:val="24"/>
        </w:rPr>
        <w:t>3.425.341,81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326891">
        <w:rPr>
          <w:rFonts w:ascii="Times New Roman" w:hAnsi="Times New Roman" w:cs="Times New Roman"/>
          <w:sz w:val="24"/>
          <w:szCs w:val="24"/>
        </w:rPr>
        <w:t>, koji su utrošen</w:t>
      </w:r>
      <w:r w:rsidR="00EC5937">
        <w:rPr>
          <w:rFonts w:ascii="Times New Roman" w:hAnsi="Times New Roman" w:cs="Times New Roman"/>
          <w:sz w:val="24"/>
          <w:szCs w:val="24"/>
        </w:rPr>
        <w:t>i</w:t>
      </w:r>
      <w:r w:rsidRPr="00326891">
        <w:rPr>
          <w:rFonts w:ascii="Times New Roman" w:hAnsi="Times New Roman" w:cs="Times New Roman"/>
          <w:sz w:val="24"/>
          <w:szCs w:val="24"/>
        </w:rPr>
        <w:t xml:space="preserve"> za nabavu dugotrajne nefinancijske imovine.</w:t>
      </w:r>
    </w:p>
    <w:p w14:paraId="1CFBC35B" w14:textId="77777777" w:rsidR="00326891" w:rsidRPr="00326891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rFonts w:ascii="Times New Roman" w:hAnsi="Times New Roman" w:cs="Times New Roman"/>
          <w:sz w:val="24"/>
          <w:szCs w:val="24"/>
        </w:rPr>
        <w:t xml:space="preserve">Navedeni kapitalni prihodi utjecali su na rezultat od redovnog poslovanja, a nabavljena nefinancijska imovina na rezultat od nefinancijske imovine. </w:t>
      </w:r>
    </w:p>
    <w:p w14:paraId="6C1B5BE7" w14:textId="135CE578" w:rsidR="00064C4E" w:rsidRDefault="00326891" w:rsidP="0032689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6891">
        <w:rPr>
          <w:rFonts w:ascii="Times New Roman" w:hAnsi="Times New Roman" w:cs="Times New Roman"/>
          <w:sz w:val="24"/>
          <w:szCs w:val="24"/>
        </w:rPr>
        <w:t xml:space="preserve">Provedena je korekcija rezultata na način da se za iznos od </w:t>
      </w:r>
      <w:r w:rsidR="00EC59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937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937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9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 eura</w:t>
      </w:r>
      <w:r w:rsidRPr="00326891">
        <w:rPr>
          <w:rFonts w:ascii="Times New Roman" w:hAnsi="Times New Roman" w:cs="Times New Roman"/>
          <w:sz w:val="24"/>
          <w:szCs w:val="24"/>
        </w:rPr>
        <w:t xml:space="preserve"> zadužuje račun viška prihoda poslovanja, a odobrava račun manjka prihoda od nefinancijske imovine</w:t>
      </w:r>
    </w:p>
    <w:p w14:paraId="70A19E82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4AC928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6713B49B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049D89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1C91F3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4917D073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1A495F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19AB1A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7DC5C8C7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7B46D4F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FD242A5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505390B4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0E31E49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40DA8A5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6B0B7869" w14:textId="0F77DC48" w:rsidR="00CC75C5" w:rsidRDefault="00FC604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C6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7565F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45948A9" w14:textId="77777777" w:rsidR="00614260" w:rsidRDefault="00614260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43E86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C9750" w14:textId="77777777" w:rsidR="00064C4E" w:rsidRDefault="00064C4E" w:rsidP="00326891">
      <w:pPr>
        <w:rPr>
          <w:rFonts w:ascii="Times New Roman" w:hAnsi="Times New Roman" w:cs="Times New Roman"/>
          <w:sz w:val="28"/>
          <w:szCs w:val="28"/>
        </w:rPr>
      </w:pPr>
    </w:p>
    <w:p w14:paraId="6F55AB15" w14:textId="77777777" w:rsidR="0069302A" w:rsidRPr="00614260" w:rsidRDefault="0069302A" w:rsidP="00036DEE">
      <w:pPr>
        <w:pStyle w:val="Heading1"/>
      </w:pPr>
      <w:bookmarkStart w:id="4" w:name="_Toc128989457"/>
      <w:r w:rsidRPr="00614260">
        <w:t>B I LJ E Š K E  U Z  O B R A Z A C  P R – R A S</w:t>
      </w:r>
      <w:bookmarkEnd w:id="4"/>
    </w:p>
    <w:p w14:paraId="4491285C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FC62246" w14:textId="77777777" w:rsidR="006A7AD0" w:rsidRDefault="006A7AD0" w:rsidP="00036DEE">
      <w:pPr>
        <w:pStyle w:val="Heading2"/>
      </w:pPr>
      <w:bookmarkStart w:id="5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5"/>
    </w:p>
    <w:p w14:paraId="3F1D8A88" w14:textId="77777777" w:rsidR="00036DEE" w:rsidRPr="00036DEE" w:rsidRDefault="00036DEE" w:rsidP="00036DEE"/>
    <w:p w14:paraId="6B585899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49E8A1ED" w14:textId="77777777" w:rsidR="009B6414" w:rsidRDefault="0054482F" w:rsidP="009B6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Ovi prihodi ostvareni su u iznosu </w:t>
      </w:r>
      <w:r w:rsidR="00847C36">
        <w:rPr>
          <w:rFonts w:ascii="Times New Roman" w:hAnsi="Times New Roman" w:cs="Times New Roman"/>
          <w:sz w:val="24"/>
          <w:szCs w:val="24"/>
        </w:rPr>
        <w:t>3.526.291,81</w:t>
      </w:r>
      <w:r>
        <w:rPr>
          <w:rFonts w:ascii="Times New Roman" w:hAnsi="Times New Roman" w:cs="Times New Roman"/>
          <w:sz w:val="24"/>
          <w:szCs w:val="24"/>
        </w:rPr>
        <w:t xml:space="preserve"> eura, a</w:t>
      </w:r>
      <w:r w:rsidRPr="0054482F">
        <w:rPr>
          <w:rFonts w:ascii="Times New Roman" w:hAnsi="Times New Roman" w:cs="Times New Roman"/>
          <w:sz w:val="24"/>
          <w:szCs w:val="24"/>
        </w:rPr>
        <w:t xml:space="preserve"> obuhvaćaju pomoći od </w:t>
      </w:r>
      <w:r w:rsidR="009B6414">
        <w:rPr>
          <w:rFonts w:ascii="Times New Roman" w:hAnsi="Times New Roman" w:cs="Times New Roman"/>
          <w:sz w:val="24"/>
          <w:szCs w:val="24"/>
        </w:rPr>
        <w:t xml:space="preserve">izvanproračunskih korisnika </w:t>
      </w:r>
      <w:r w:rsidRPr="0054482F">
        <w:rPr>
          <w:rFonts w:ascii="Times New Roman" w:hAnsi="Times New Roman" w:cs="Times New Roman"/>
          <w:sz w:val="24"/>
          <w:szCs w:val="24"/>
        </w:rPr>
        <w:t xml:space="preserve">te prijenose između proračunskih korisnika istog proračuna. Ovi prihodi ostvareni su u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B64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B6414">
        <w:rPr>
          <w:rFonts w:ascii="Times New Roman" w:hAnsi="Times New Roman" w:cs="Times New Roman"/>
          <w:sz w:val="24"/>
          <w:szCs w:val="24"/>
        </w:rPr>
        <w:t xml:space="preserve">većem </w:t>
      </w:r>
      <w:r w:rsidRPr="0054482F">
        <w:rPr>
          <w:rFonts w:ascii="Times New Roman" w:hAnsi="Times New Roman" w:cs="Times New Roman"/>
          <w:sz w:val="24"/>
          <w:szCs w:val="24"/>
        </w:rPr>
        <w:t xml:space="preserve">iznosu u odnosu na prethodnu godinu </w:t>
      </w:r>
      <w:r w:rsidR="009B6414">
        <w:rPr>
          <w:rFonts w:ascii="Times New Roman" w:hAnsi="Times New Roman" w:cs="Times New Roman"/>
          <w:sz w:val="24"/>
          <w:szCs w:val="24"/>
        </w:rPr>
        <w:t xml:space="preserve">najvećim dijelom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9B6414">
        <w:rPr>
          <w:rFonts w:ascii="Times New Roman" w:hAnsi="Times New Roman" w:cs="Times New Roman"/>
          <w:sz w:val="24"/>
          <w:szCs w:val="24"/>
        </w:rPr>
        <w:t xml:space="preserve">zaostale isplate </w:t>
      </w:r>
      <w:r>
        <w:rPr>
          <w:rFonts w:ascii="Times New Roman" w:hAnsi="Times New Roman" w:cs="Times New Roman"/>
          <w:sz w:val="24"/>
          <w:szCs w:val="24"/>
        </w:rPr>
        <w:t>sredstava EU fonda za ribarstvo za potrebe financiranja projek</w:t>
      </w:r>
      <w:r w:rsidR="009B64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izgradnje </w:t>
      </w:r>
      <w:r w:rsidR="009B6414">
        <w:rPr>
          <w:rFonts w:ascii="Times New Roman" w:hAnsi="Times New Roman" w:cs="Times New Roman"/>
          <w:sz w:val="24"/>
          <w:szCs w:val="24"/>
        </w:rPr>
        <w:t>ribarskih luka.</w:t>
      </w:r>
    </w:p>
    <w:p w14:paraId="207D7A7B" w14:textId="3D852E1D" w:rsidR="0054482F" w:rsidRPr="0054482F" w:rsidRDefault="009B6414" w:rsidP="009B6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B6414">
        <w:rPr>
          <w:rFonts w:ascii="Times New Roman" w:hAnsi="Times New Roman" w:cs="Times New Roman"/>
          <w:sz w:val="24"/>
          <w:szCs w:val="24"/>
        </w:rPr>
        <w:t>omoći od izvanproračunskih korisnika</w:t>
      </w:r>
      <w:r>
        <w:rPr>
          <w:rFonts w:ascii="Times New Roman" w:hAnsi="Times New Roman" w:cs="Times New Roman"/>
          <w:sz w:val="24"/>
          <w:szCs w:val="24"/>
        </w:rPr>
        <w:t xml:space="preserve"> su tekuće pomoći Fonda za zaštitu okoliša i energetsku učinkovitost za financiranje projekta uspostavljanja sustava za mjerenje kakvoće zraka. Isplaćene su u iznosu 100.950,00 eura. </w:t>
      </w:r>
    </w:p>
    <w:p w14:paraId="5BB21159" w14:textId="77777777" w:rsidR="009B6414" w:rsidRPr="009B6414" w:rsidRDefault="0054482F" w:rsidP="009B6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4482F">
        <w:rPr>
          <w:rFonts w:ascii="Times New Roman" w:hAnsi="Times New Roman" w:cs="Times New Roman"/>
          <w:sz w:val="24"/>
          <w:szCs w:val="24"/>
        </w:rPr>
        <w:t xml:space="preserve">Prijenosi između proračunskih korisnika istog proračuna ostvareni su u iznosu </w:t>
      </w:r>
      <w:r w:rsidR="009B6414">
        <w:rPr>
          <w:rFonts w:ascii="Times New Roman" w:hAnsi="Times New Roman" w:cs="Times New Roman"/>
          <w:sz w:val="24"/>
          <w:szCs w:val="24"/>
        </w:rPr>
        <w:t>3.425.341,81</w:t>
      </w:r>
      <w:r w:rsidR="00F768A5">
        <w:rPr>
          <w:rFonts w:ascii="Times New Roman" w:hAnsi="Times New Roman" w:cs="Times New Roman"/>
          <w:sz w:val="24"/>
          <w:szCs w:val="24"/>
        </w:rPr>
        <w:t xml:space="preserve"> eura</w:t>
      </w:r>
      <w:r w:rsidRPr="0054482F">
        <w:rPr>
          <w:rFonts w:ascii="Times New Roman" w:hAnsi="Times New Roman" w:cs="Times New Roman"/>
          <w:sz w:val="24"/>
          <w:szCs w:val="24"/>
        </w:rPr>
        <w:t>, a odnose se na kapitalne prijenose između proračunskih korisnika istog proračuna temeljem prijenosa EU sredstava, odnosno sredstva Europskog fonda za ribarstvo koja s</w:t>
      </w:r>
      <w:r w:rsidR="00F768A5">
        <w:rPr>
          <w:rFonts w:ascii="Times New Roman" w:hAnsi="Times New Roman" w:cs="Times New Roman"/>
          <w:sz w:val="24"/>
          <w:szCs w:val="24"/>
        </w:rPr>
        <w:t>u</w:t>
      </w:r>
      <w:r w:rsidRPr="0054482F">
        <w:rPr>
          <w:rFonts w:ascii="Times New Roman" w:hAnsi="Times New Roman" w:cs="Times New Roman"/>
          <w:sz w:val="24"/>
          <w:szCs w:val="24"/>
        </w:rPr>
        <w:t xml:space="preserve"> Lučkoj upravi Zadar </w:t>
      </w:r>
      <w:r w:rsidR="009B6414" w:rsidRPr="009B6414">
        <w:rPr>
          <w:rFonts w:ascii="Times New Roman" w:hAnsi="Times New Roman" w:cs="Times New Roman"/>
          <w:sz w:val="24"/>
          <w:szCs w:val="24"/>
        </w:rPr>
        <w:t>isplaćena posredstvom Ministarstva poljoprivrede za financiranje projekata modernizacije i izgradnje ribarskih luka, i to:</w:t>
      </w:r>
    </w:p>
    <w:p w14:paraId="660F292B" w14:textId="77777777" w:rsidR="009B6414" w:rsidRDefault="009B6414" w:rsidP="009B6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B6414">
        <w:rPr>
          <w:rFonts w:ascii="Times New Roman" w:hAnsi="Times New Roman" w:cs="Times New Roman"/>
          <w:sz w:val="24"/>
          <w:szCs w:val="24"/>
        </w:rPr>
        <w:t>- 22.234,24 eura za projekt rekonstrukcije postojeće infrastrukture na području ribarske luke Gaženica;</w:t>
      </w:r>
    </w:p>
    <w:p w14:paraId="7AA317B2" w14:textId="397203F9" w:rsidR="009B6414" w:rsidRPr="009B6414" w:rsidRDefault="009B6414" w:rsidP="009B6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B6414">
        <w:rPr>
          <w:rFonts w:ascii="Times New Roman" w:hAnsi="Times New Roman" w:cs="Times New Roman"/>
          <w:sz w:val="24"/>
          <w:szCs w:val="24"/>
        </w:rPr>
        <w:lastRenderedPageBreak/>
        <w:t xml:space="preserve">- 3.002.719,07 eura za projekt izgradnje ribarske luke Vela </w:t>
      </w:r>
      <w:proofErr w:type="spellStart"/>
      <w:r w:rsidRPr="009B6414"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 w:rsidRPr="009B6414">
        <w:rPr>
          <w:rFonts w:ascii="Times New Roman" w:hAnsi="Times New Roman" w:cs="Times New Roman"/>
          <w:sz w:val="24"/>
          <w:szCs w:val="24"/>
        </w:rPr>
        <w:t xml:space="preserve">, Kali, Faza 2 te </w:t>
      </w:r>
    </w:p>
    <w:p w14:paraId="7300A11D" w14:textId="3DA35474" w:rsidR="00036DEE" w:rsidRPr="00064C4E" w:rsidRDefault="009B6414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B6414">
        <w:rPr>
          <w:rFonts w:ascii="Times New Roman" w:hAnsi="Times New Roman" w:cs="Times New Roman"/>
          <w:sz w:val="24"/>
          <w:szCs w:val="24"/>
        </w:rPr>
        <w:t xml:space="preserve">- 400.388,50 eura za projekt Modernizacije i izgradnje Ribarske luke Vela </w:t>
      </w:r>
      <w:proofErr w:type="spellStart"/>
      <w:r w:rsidRPr="009B6414"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 w:rsidRPr="009B6414">
        <w:rPr>
          <w:rFonts w:ascii="Times New Roman" w:hAnsi="Times New Roman" w:cs="Times New Roman"/>
          <w:sz w:val="24"/>
          <w:szCs w:val="24"/>
        </w:rPr>
        <w:t>, Kali, Faza 1.</w:t>
      </w:r>
      <w:r w:rsidR="0054482F" w:rsidRPr="0054482F">
        <w:rPr>
          <w:rFonts w:ascii="Times New Roman" w:hAnsi="Times New Roman" w:cs="Times New Roman"/>
          <w:sz w:val="24"/>
          <w:szCs w:val="24"/>
        </w:rPr>
        <w:t>isplać</w:t>
      </w:r>
      <w:r w:rsidR="00F768A5">
        <w:rPr>
          <w:rFonts w:ascii="Times New Roman" w:hAnsi="Times New Roman" w:cs="Times New Roman"/>
          <w:sz w:val="24"/>
          <w:szCs w:val="24"/>
        </w:rPr>
        <w:t>ena</w:t>
      </w:r>
      <w:r w:rsidR="0054482F" w:rsidRPr="0054482F">
        <w:rPr>
          <w:rFonts w:ascii="Times New Roman" w:hAnsi="Times New Roman" w:cs="Times New Roman"/>
          <w:sz w:val="24"/>
          <w:szCs w:val="24"/>
        </w:rPr>
        <w:t xml:space="preserve"> posredstvom Ministarstva poljoprivrede za financiranje projekta </w:t>
      </w:r>
      <w:r w:rsidR="00F768A5">
        <w:rPr>
          <w:rFonts w:ascii="Times New Roman" w:hAnsi="Times New Roman" w:cs="Times New Roman"/>
          <w:sz w:val="24"/>
          <w:szCs w:val="24"/>
        </w:rPr>
        <w:t xml:space="preserve">Modernizacija i izgradnja Ribarske luke Vela </w:t>
      </w:r>
      <w:proofErr w:type="spellStart"/>
      <w:r w:rsidR="00F768A5">
        <w:rPr>
          <w:rFonts w:ascii="Times New Roman" w:hAnsi="Times New Roman" w:cs="Times New Roman"/>
          <w:sz w:val="24"/>
          <w:szCs w:val="24"/>
        </w:rPr>
        <w:t>Lamjana</w:t>
      </w:r>
      <w:proofErr w:type="spellEnd"/>
      <w:r w:rsidR="00F768A5">
        <w:rPr>
          <w:rFonts w:ascii="Times New Roman" w:hAnsi="Times New Roman" w:cs="Times New Roman"/>
          <w:sz w:val="24"/>
          <w:szCs w:val="24"/>
        </w:rPr>
        <w:t>, Kali, Faza 1.</w:t>
      </w:r>
      <w:r w:rsidR="0054482F" w:rsidRPr="005448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31D942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79B817F1" w14:textId="32A137DE" w:rsidR="00036DEE" w:rsidRPr="00064C4E" w:rsidRDefault="00F768A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Prihodi od imovine ostvareni su u iznosu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F1F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F99">
        <w:rPr>
          <w:rFonts w:ascii="Times New Roman" w:hAnsi="Times New Roman" w:cs="Times New Roman"/>
          <w:sz w:val="24"/>
          <w:szCs w:val="24"/>
        </w:rPr>
        <w:t>596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7A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 te obuhvaćaju prihode od financijske imovine (</w:t>
      </w:r>
      <w:r w:rsidR="008F1F99">
        <w:rPr>
          <w:rFonts w:ascii="Times New Roman" w:hAnsi="Times New Roman" w:cs="Times New Roman"/>
          <w:sz w:val="24"/>
          <w:szCs w:val="24"/>
        </w:rPr>
        <w:t>12.170,9</w:t>
      </w:r>
      <w:r w:rsidR="007367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F768A5">
        <w:rPr>
          <w:rFonts w:ascii="Times New Roman" w:hAnsi="Times New Roman" w:cs="Times New Roman"/>
          <w:sz w:val="24"/>
          <w:szCs w:val="24"/>
        </w:rPr>
        <w:t>), koji se odnose na prihode od zateznih kamata, te prihode od nefinancijske imovine, odnosno prihode od koncesija na pomorskom dobru (</w:t>
      </w:r>
      <w:r>
        <w:rPr>
          <w:rFonts w:ascii="Times New Roman" w:hAnsi="Times New Roman" w:cs="Times New Roman"/>
          <w:sz w:val="24"/>
          <w:szCs w:val="24"/>
        </w:rPr>
        <w:t>1.1</w:t>
      </w:r>
      <w:r w:rsidR="008F1F99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F99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1F9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). Ovi prihodi </w:t>
      </w:r>
      <w:r w:rsidR="008F1F99">
        <w:rPr>
          <w:rFonts w:ascii="Times New Roman" w:hAnsi="Times New Roman" w:cs="Times New Roman"/>
          <w:sz w:val="24"/>
          <w:szCs w:val="24"/>
        </w:rPr>
        <w:t>su na razini prihoda iz prethodne godine.</w:t>
      </w:r>
      <w:r w:rsidRPr="00F768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7B7D7A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22AF689F" w14:textId="77777777" w:rsidR="00675E5D" w:rsidRDefault="00F768A5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ostvareni su u iznosu </w:t>
      </w:r>
      <w:r w:rsidR="009B6414">
        <w:rPr>
          <w:rFonts w:ascii="Times New Roman" w:hAnsi="Times New Roman" w:cs="Times New Roman"/>
          <w:sz w:val="24"/>
          <w:szCs w:val="24"/>
        </w:rPr>
        <w:t>4.901.758,08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 te se najvećim dijelom (</w:t>
      </w:r>
      <w:r w:rsidR="009B6414">
        <w:rPr>
          <w:rFonts w:ascii="Times New Roman" w:hAnsi="Times New Roman" w:cs="Times New Roman"/>
          <w:sz w:val="24"/>
          <w:szCs w:val="24"/>
        </w:rPr>
        <w:t>4.899.872,80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F768A5">
        <w:rPr>
          <w:rFonts w:ascii="Times New Roman" w:hAnsi="Times New Roman" w:cs="Times New Roman"/>
          <w:sz w:val="24"/>
          <w:szCs w:val="24"/>
        </w:rPr>
        <w:t xml:space="preserve">) odnose na prihode od pristojbi za upotrebu obale. Ovi prihodi ostvarili su rast od </w:t>
      </w:r>
      <w:r w:rsidR="001016C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68A5">
        <w:rPr>
          <w:rFonts w:ascii="Times New Roman" w:hAnsi="Times New Roman" w:cs="Times New Roman"/>
          <w:sz w:val="24"/>
          <w:szCs w:val="24"/>
        </w:rPr>
        <w:t xml:space="preserve">% u odnosu na prethodnu godinu </w:t>
      </w:r>
      <w:r w:rsidR="001016C0" w:rsidRPr="001016C0">
        <w:rPr>
          <w:rFonts w:ascii="Times New Roman" w:hAnsi="Times New Roman" w:cs="Times New Roman"/>
          <w:sz w:val="24"/>
          <w:szCs w:val="24"/>
        </w:rPr>
        <w:t>ponajviše kao rezultat prihoda ostvarenih na području Marine Zadar (</w:t>
      </w:r>
      <w:r w:rsidR="001016C0">
        <w:rPr>
          <w:rFonts w:ascii="Times New Roman" w:hAnsi="Times New Roman" w:cs="Times New Roman"/>
          <w:sz w:val="24"/>
          <w:szCs w:val="24"/>
        </w:rPr>
        <w:t>2.303.621,44</w:t>
      </w:r>
      <w:r w:rsidR="001016C0" w:rsidRPr="001016C0">
        <w:rPr>
          <w:rFonts w:ascii="Times New Roman" w:hAnsi="Times New Roman" w:cs="Times New Roman"/>
          <w:sz w:val="24"/>
          <w:szCs w:val="24"/>
        </w:rPr>
        <w:t xml:space="preserve"> eura)</w:t>
      </w:r>
      <w:r w:rsidR="00675E5D">
        <w:rPr>
          <w:rFonts w:ascii="Times New Roman" w:hAnsi="Times New Roman" w:cs="Times New Roman"/>
          <w:sz w:val="24"/>
          <w:szCs w:val="24"/>
        </w:rPr>
        <w:t>.</w:t>
      </w:r>
    </w:p>
    <w:p w14:paraId="26F1849D" w14:textId="2DAA6ACC" w:rsidR="0087004D" w:rsidRPr="00036DEE" w:rsidRDefault="00675E5D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75E5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ostalim </w:t>
      </w:r>
      <w:r w:rsidRPr="00675E5D">
        <w:rPr>
          <w:rFonts w:ascii="Times New Roman" w:hAnsi="Times New Roman" w:cs="Times New Roman"/>
          <w:sz w:val="24"/>
          <w:szCs w:val="24"/>
        </w:rPr>
        <w:t xml:space="preserve">područjima pod upravom Lučke uprave Zadar, izuzev Marine, ovi prihodi ostvareni su u iznosu </w:t>
      </w:r>
      <w:r>
        <w:rPr>
          <w:rFonts w:ascii="Times New Roman" w:hAnsi="Times New Roman" w:cs="Times New Roman"/>
          <w:sz w:val="24"/>
          <w:szCs w:val="24"/>
        </w:rPr>
        <w:t xml:space="preserve">2.596.251,36 eura, što predstavlja rast od 14% u odnosu na prethodnu godinu, a zahvaljujući </w:t>
      </w:r>
      <w:r w:rsidR="001016C0" w:rsidRPr="001016C0">
        <w:rPr>
          <w:rFonts w:ascii="Times New Roman" w:hAnsi="Times New Roman" w:cs="Times New Roman"/>
          <w:sz w:val="24"/>
          <w:szCs w:val="24"/>
        </w:rPr>
        <w:t xml:space="preserve"> kontinuiranom rastu putničkog pomorskog prometa, osobito u dijelu prometa brodova na kružnim putovanjima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4EFED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71852BEA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F2A187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2B72B7" w14:textId="77777777" w:rsidR="0069302A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141F32F9" w14:textId="0ACBCCFB" w:rsidR="005552C0" w:rsidRPr="00675E5D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552C0">
        <w:rPr>
          <w:rFonts w:ascii="Times New Roman" w:hAnsi="Times New Roman" w:cs="Times New Roman"/>
          <w:sz w:val="24"/>
          <w:szCs w:val="24"/>
        </w:rPr>
        <w:t xml:space="preserve">Prihodi iz Državnog proračuna ostvareni su u iznosu </w:t>
      </w:r>
      <w:r w:rsidR="00675E5D">
        <w:rPr>
          <w:rFonts w:ascii="Times New Roman" w:hAnsi="Times New Roman" w:cs="Times New Roman"/>
          <w:sz w:val="24"/>
          <w:szCs w:val="24"/>
        </w:rPr>
        <w:t>5.558.635,</w:t>
      </w:r>
      <w:r w:rsidR="00675E5D" w:rsidRPr="00675E5D">
        <w:rPr>
          <w:rFonts w:ascii="Times New Roman" w:hAnsi="Times New Roman" w:cs="Times New Roman"/>
          <w:sz w:val="24"/>
          <w:szCs w:val="24"/>
        </w:rPr>
        <w:t>11</w:t>
      </w:r>
      <w:r w:rsidRPr="00675E5D">
        <w:rPr>
          <w:rFonts w:ascii="Times New Roman" w:hAnsi="Times New Roman" w:cs="Times New Roman"/>
          <w:sz w:val="24"/>
          <w:szCs w:val="24"/>
        </w:rPr>
        <w:t xml:space="preserve"> eura, od čega se 1.</w:t>
      </w:r>
      <w:r w:rsidR="00675E5D" w:rsidRPr="00675E5D">
        <w:rPr>
          <w:rFonts w:ascii="Times New Roman" w:hAnsi="Times New Roman" w:cs="Times New Roman"/>
          <w:sz w:val="24"/>
          <w:szCs w:val="24"/>
        </w:rPr>
        <w:t>796.533,81</w:t>
      </w:r>
      <w:r w:rsidRPr="00675E5D">
        <w:rPr>
          <w:rFonts w:ascii="Times New Roman" w:hAnsi="Times New Roman" w:cs="Times New Roman"/>
          <w:sz w:val="24"/>
          <w:szCs w:val="24"/>
        </w:rPr>
        <w:t xml:space="preserve"> eura odnosi na prihode za financiranje rashoda poslovanja, a 3.762.101,30 eura na prihode od nadležnog proračuna za financiranje izdataka za financijsku imovinu i otplatu zajmova. </w:t>
      </w:r>
    </w:p>
    <w:p w14:paraId="0BF337AD" w14:textId="77777777" w:rsidR="005552C0" w:rsidRPr="00675E5D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75E5D">
        <w:rPr>
          <w:rFonts w:ascii="Times New Roman" w:hAnsi="Times New Roman" w:cs="Times New Roman"/>
          <w:sz w:val="24"/>
          <w:szCs w:val="24"/>
        </w:rPr>
        <w:t>Prihodima iz nadležnog proračuna za financiranje rashoda poslovanja financirani su:</w:t>
      </w:r>
    </w:p>
    <w:p w14:paraId="0CABAAB0" w14:textId="2C8DCC5A" w:rsidR="005552C0" w:rsidRPr="00675E5D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75E5D">
        <w:rPr>
          <w:rFonts w:ascii="Times New Roman" w:hAnsi="Times New Roman" w:cs="Times New Roman"/>
          <w:sz w:val="24"/>
          <w:szCs w:val="24"/>
        </w:rPr>
        <w:t>•</w:t>
      </w:r>
      <w:r w:rsidRPr="00675E5D">
        <w:rPr>
          <w:rFonts w:ascii="Times New Roman" w:hAnsi="Times New Roman" w:cs="Times New Roman"/>
          <w:sz w:val="24"/>
          <w:szCs w:val="24"/>
        </w:rPr>
        <w:tab/>
        <w:t xml:space="preserve">Rashodi za kamate po zajmu Europske investicijske banke u iznosu </w:t>
      </w:r>
      <w:r w:rsidR="00CD25B0" w:rsidRPr="00675E5D">
        <w:rPr>
          <w:rFonts w:ascii="Times New Roman" w:hAnsi="Times New Roman" w:cs="Times New Roman"/>
          <w:sz w:val="24"/>
          <w:szCs w:val="24"/>
        </w:rPr>
        <w:t>1.625.400,00</w:t>
      </w:r>
      <w:r w:rsidRPr="00675E5D">
        <w:rPr>
          <w:rFonts w:ascii="Times New Roman" w:hAnsi="Times New Roman" w:cs="Times New Roman"/>
          <w:sz w:val="24"/>
          <w:szCs w:val="24"/>
        </w:rPr>
        <w:t xml:space="preserve"> eura </w:t>
      </w:r>
    </w:p>
    <w:p w14:paraId="346555CA" w14:textId="2E898A9C" w:rsidR="005552C0" w:rsidRPr="00675E5D" w:rsidRDefault="005552C0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88959740"/>
      <w:r w:rsidRPr="00675E5D">
        <w:rPr>
          <w:rFonts w:ascii="Times New Roman" w:hAnsi="Times New Roman" w:cs="Times New Roman"/>
          <w:sz w:val="24"/>
          <w:szCs w:val="24"/>
        </w:rPr>
        <w:t>•</w:t>
      </w:r>
      <w:bookmarkEnd w:id="6"/>
      <w:r w:rsidRPr="00675E5D">
        <w:rPr>
          <w:rFonts w:ascii="Times New Roman" w:hAnsi="Times New Roman" w:cs="Times New Roman"/>
          <w:sz w:val="24"/>
          <w:szCs w:val="24"/>
        </w:rPr>
        <w:tab/>
        <w:t xml:space="preserve">Rashodi poslovanja na projektu INTERREG VA - ITALIJA - HRVATSKA - Projekt </w:t>
      </w:r>
      <w:r w:rsidR="00920A89" w:rsidRPr="00675E5D">
        <w:rPr>
          <w:rFonts w:ascii="Times New Roman" w:hAnsi="Times New Roman" w:cs="Times New Roman"/>
          <w:sz w:val="24"/>
          <w:szCs w:val="24"/>
        </w:rPr>
        <w:t>TRANSPONEXT</w:t>
      </w:r>
      <w:r w:rsidRPr="00675E5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20A89" w:rsidRPr="00675E5D">
        <w:rPr>
          <w:rFonts w:ascii="Times New Roman" w:hAnsi="Times New Roman" w:cs="Times New Roman"/>
          <w:sz w:val="24"/>
          <w:szCs w:val="24"/>
        </w:rPr>
        <w:t>47.491,78</w:t>
      </w:r>
      <w:r w:rsidRPr="00675E5D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015921D4" w14:textId="0C7532EB" w:rsidR="00CD25B0" w:rsidRPr="00675E5D" w:rsidRDefault="00920A8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75E5D">
        <w:rPr>
          <w:rFonts w:ascii="Times New Roman" w:hAnsi="Times New Roman" w:cs="Times New Roman"/>
          <w:sz w:val="24"/>
          <w:szCs w:val="24"/>
        </w:rPr>
        <w:t>•</w:t>
      </w:r>
      <w:r w:rsidRPr="00675E5D">
        <w:rPr>
          <w:rFonts w:ascii="Times New Roman" w:hAnsi="Times New Roman" w:cs="Times New Roman"/>
          <w:sz w:val="24"/>
          <w:szCs w:val="24"/>
        </w:rPr>
        <w:tab/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Rashodi poslovanja na projektu INTERREG VA - ITALIJA - HRVATSKA - Projekt </w:t>
      </w:r>
      <w:r w:rsidRPr="00675E5D">
        <w:rPr>
          <w:rFonts w:ascii="Times New Roman" w:hAnsi="Times New Roman" w:cs="Times New Roman"/>
          <w:sz w:val="24"/>
          <w:szCs w:val="24"/>
        </w:rPr>
        <w:t>MILEPORT</w:t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 u iznosu </w:t>
      </w:r>
      <w:r w:rsidRPr="00675E5D">
        <w:rPr>
          <w:rFonts w:ascii="Times New Roman" w:hAnsi="Times New Roman" w:cs="Times New Roman"/>
          <w:sz w:val="24"/>
          <w:szCs w:val="24"/>
        </w:rPr>
        <w:t>46.646,64</w:t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C452533" w14:textId="44B0F3BF" w:rsidR="00CD25B0" w:rsidRPr="00675E5D" w:rsidRDefault="00920A8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75E5D">
        <w:rPr>
          <w:rFonts w:ascii="Times New Roman" w:hAnsi="Times New Roman" w:cs="Times New Roman"/>
          <w:sz w:val="24"/>
          <w:szCs w:val="24"/>
        </w:rPr>
        <w:t>•</w:t>
      </w:r>
      <w:r w:rsidRPr="00675E5D">
        <w:rPr>
          <w:rFonts w:ascii="Times New Roman" w:hAnsi="Times New Roman" w:cs="Times New Roman"/>
          <w:sz w:val="24"/>
          <w:szCs w:val="24"/>
        </w:rPr>
        <w:tab/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Rashodi poslovanja na projektu INTERREG VA - ITALIJA - HRVATSKA - Projekt </w:t>
      </w:r>
      <w:r w:rsidRPr="00675E5D">
        <w:rPr>
          <w:rFonts w:ascii="Times New Roman" w:hAnsi="Times New Roman" w:cs="Times New Roman"/>
          <w:sz w:val="24"/>
          <w:szCs w:val="24"/>
        </w:rPr>
        <w:t>DIGITPORTS</w:t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E789D" w:rsidRPr="00675E5D">
        <w:rPr>
          <w:rFonts w:ascii="Times New Roman" w:hAnsi="Times New Roman" w:cs="Times New Roman"/>
          <w:sz w:val="24"/>
          <w:szCs w:val="24"/>
        </w:rPr>
        <w:t>33</w:t>
      </w:r>
      <w:r w:rsidR="00CD25B0" w:rsidRPr="00675E5D">
        <w:rPr>
          <w:rFonts w:ascii="Times New Roman" w:hAnsi="Times New Roman" w:cs="Times New Roman"/>
          <w:sz w:val="24"/>
          <w:szCs w:val="24"/>
        </w:rPr>
        <w:t>.</w:t>
      </w:r>
      <w:r w:rsidR="006E789D" w:rsidRPr="00675E5D">
        <w:rPr>
          <w:rFonts w:ascii="Times New Roman" w:hAnsi="Times New Roman" w:cs="Times New Roman"/>
          <w:sz w:val="24"/>
          <w:szCs w:val="24"/>
        </w:rPr>
        <w:t>802</w:t>
      </w:r>
      <w:r w:rsidR="00CD25B0" w:rsidRPr="00675E5D">
        <w:rPr>
          <w:rFonts w:ascii="Times New Roman" w:hAnsi="Times New Roman" w:cs="Times New Roman"/>
          <w:sz w:val="24"/>
          <w:szCs w:val="24"/>
        </w:rPr>
        <w:t>,3</w:t>
      </w:r>
      <w:r w:rsidR="006E789D" w:rsidRPr="00675E5D">
        <w:rPr>
          <w:rFonts w:ascii="Times New Roman" w:hAnsi="Times New Roman" w:cs="Times New Roman"/>
          <w:sz w:val="24"/>
          <w:szCs w:val="24"/>
        </w:rPr>
        <w:t>6</w:t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81156EF" w14:textId="0326986A" w:rsidR="00CD25B0" w:rsidRPr="00675E5D" w:rsidRDefault="00920A89" w:rsidP="005625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75E5D">
        <w:rPr>
          <w:rFonts w:ascii="Times New Roman" w:hAnsi="Times New Roman" w:cs="Times New Roman"/>
          <w:sz w:val="24"/>
          <w:szCs w:val="24"/>
        </w:rPr>
        <w:t>•</w:t>
      </w:r>
      <w:r w:rsidRPr="00675E5D">
        <w:rPr>
          <w:rFonts w:ascii="Times New Roman" w:hAnsi="Times New Roman" w:cs="Times New Roman"/>
          <w:sz w:val="24"/>
          <w:szCs w:val="24"/>
        </w:rPr>
        <w:tab/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Rashodi poslovanja na projektu INTERREG VA - ITALIJA - HRVATSKA - Projekt </w:t>
      </w:r>
      <w:r w:rsidR="001539D2" w:rsidRPr="00675E5D">
        <w:rPr>
          <w:rFonts w:ascii="Times New Roman" w:hAnsi="Times New Roman" w:cs="Times New Roman"/>
          <w:sz w:val="24"/>
          <w:szCs w:val="24"/>
        </w:rPr>
        <w:t>ADR</w:t>
      </w:r>
      <w:r w:rsidR="00C34A16" w:rsidRPr="00675E5D">
        <w:rPr>
          <w:rFonts w:ascii="Times New Roman" w:hAnsi="Times New Roman" w:cs="Times New Roman"/>
          <w:sz w:val="24"/>
          <w:szCs w:val="24"/>
        </w:rPr>
        <w:t>IJOROUTES</w:t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E789D" w:rsidRPr="00675E5D">
        <w:rPr>
          <w:rFonts w:ascii="Times New Roman" w:hAnsi="Times New Roman" w:cs="Times New Roman"/>
          <w:sz w:val="24"/>
          <w:szCs w:val="24"/>
        </w:rPr>
        <w:t>43.193,03</w:t>
      </w:r>
      <w:r w:rsidR="00CD25B0" w:rsidRPr="00675E5D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27EB5C0" w14:textId="08E219ED" w:rsidR="0087004D" w:rsidRPr="0087004D" w:rsidRDefault="0087004D" w:rsidP="0087004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75E5D">
        <w:rPr>
          <w:rFonts w:ascii="Times New Roman" w:hAnsi="Times New Roman" w:cs="Times New Roman"/>
          <w:sz w:val="24"/>
          <w:szCs w:val="24"/>
        </w:rPr>
        <w:t xml:space="preserve">Prihodima iz nadležnog proračuna za financiranje rashoda poslovanja financirani su rashodi za kamate po zajmu Europske investicijske banke u iznosu </w:t>
      </w:r>
      <w:r w:rsidR="005559E3" w:rsidRPr="00675E5D">
        <w:rPr>
          <w:rFonts w:ascii="Times New Roman" w:hAnsi="Times New Roman" w:cs="Times New Roman"/>
          <w:sz w:val="24"/>
          <w:szCs w:val="24"/>
        </w:rPr>
        <w:t>1.625.400,00</w:t>
      </w:r>
      <w:r w:rsidRPr="00675E5D">
        <w:rPr>
          <w:rFonts w:ascii="Times New Roman" w:hAnsi="Times New Roman" w:cs="Times New Roman"/>
          <w:sz w:val="24"/>
          <w:szCs w:val="24"/>
        </w:rPr>
        <w:t xml:space="preserve"> eura. </w:t>
      </w:r>
      <w:r w:rsidR="00CD25B0" w:rsidRPr="00CD25B0">
        <w:rPr>
          <w:rFonts w:ascii="Times New Roman" w:hAnsi="Times New Roman" w:cs="Times New Roman"/>
          <w:sz w:val="24"/>
          <w:szCs w:val="24"/>
        </w:rPr>
        <w:t xml:space="preserve">Ovi prihodi su </w:t>
      </w:r>
      <w:r w:rsidR="00CD25B0">
        <w:rPr>
          <w:rFonts w:ascii="Times New Roman" w:hAnsi="Times New Roman" w:cs="Times New Roman"/>
          <w:sz w:val="24"/>
          <w:szCs w:val="24"/>
        </w:rPr>
        <w:t>manji u odnosu na prethodnu godinu jer je radi postizanja ušteda na razini države dio rashoda za kamate u iznosu 125.000,00 eura financiran iz namjenskih prihoda i primitaka</w:t>
      </w:r>
      <w:r w:rsidR="00CD25B0" w:rsidRPr="00CD25B0">
        <w:rPr>
          <w:rFonts w:ascii="Times New Roman" w:hAnsi="Times New Roman" w:cs="Times New Roman"/>
          <w:sz w:val="24"/>
          <w:szCs w:val="24"/>
        </w:rPr>
        <w:t>.</w:t>
      </w:r>
    </w:p>
    <w:p w14:paraId="020F8349" w14:textId="1B48429E" w:rsidR="0087004D" w:rsidRPr="0087004D" w:rsidRDefault="0087004D" w:rsidP="0087004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  <w:highlight w:val="yellow"/>
        </w:rPr>
      </w:pPr>
      <w:r w:rsidRPr="00675E5D">
        <w:rPr>
          <w:rFonts w:ascii="Times New Roman" w:hAnsi="Times New Roman" w:cs="Times New Roman"/>
          <w:sz w:val="24"/>
          <w:szCs w:val="24"/>
        </w:rPr>
        <w:lastRenderedPageBreak/>
        <w:t xml:space="preserve">Prihodima za financiranje izdataka za financijsku imovinu i otplatu zajmova financirana je otplata zajma Europske investicijske banke u iznosu </w:t>
      </w:r>
      <w:r w:rsidR="005559E3" w:rsidRPr="00675E5D">
        <w:rPr>
          <w:rFonts w:ascii="Times New Roman" w:hAnsi="Times New Roman" w:cs="Times New Roman"/>
          <w:sz w:val="24"/>
          <w:szCs w:val="24"/>
        </w:rPr>
        <w:t>3.762.101,30</w:t>
      </w:r>
      <w:r w:rsidRPr="00675E5D">
        <w:rPr>
          <w:rFonts w:ascii="Times New Roman" w:hAnsi="Times New Roman" w:cs="Times New Roman"/>
          <w:sz w:val="24"/>
          <w:szCs w:val="24"/>
        </w:rPr>
        <w:t xml:space="preserve"> eura. Ovi prihodi su na razini prihoda istoga razdoblja prethodne godine.</w:t>
      </w:r>
    </w:p>
    <w:p w14:paraId="094350A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624DA736" w14:textId="30D64307" w:rsidR="00680392" w:rsidRDefault="00680392" w:rsidP="008B3A2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14A2AD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2AB19B71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A51AA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FCB2B7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3B60F0EB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074A6E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FBF1661" w14:textId="77777777" w:rsidR="001D4818" w:rsidRPr="00D649D7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40CA7ED3" w14:textId="77777777" w:rsidR="00064C4E" w:rsidRDefault="00064C4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703A99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384C02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46CD217D" w14:textId="77777777" w:rsidR="006A7AD0" w:rsidRDefault="006A7AD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68A9998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33263F" w14:textId="77777777" w:rsidR="00680392" w:rsidRDefault="00680392" w:rsidP="00036DEE">
      <w:pPr>
        <w:pStyle w:val="Heading2"/>
      </w:pPr>
      <w:bookmarkStart w:id="7" w:name="_Toc128989459"/>
    </w:p>
    <w:p w14:paraId="1B4F2A69" w14:textId="77777777" w:rsidR="000D58E1" w:rsidRDefault="006A7AD0" w:rsidP="00036DEE">
      <w:pPr>
        <w:pStyle w:val="Heading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7"/>
    </w:p>
    <w:p w14:paraId="471ACAB9" w14:textId="77777777" w:rsidR="00036DEE" w:rsidRPr="00036DEE" w:rsidRDefault="00036DEE" w:rsidP="00036DEE"/>
    <w:p w14:paraId="69DFE71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677A47F1" w14:textId="77777777" w:rsidR="00675E5D" w:rsidRDefault="00E87629" w:rsidP="00F0468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</w:pPr>
      <w:r w:rsidRPr="002B6A0A">
        <w:rPr>
          <w:rFonts w:ascii="Times New Roman" w:hAnsi="Times New Roman" w:cs="Times New Roman"/>
          <w:sz w:val="24"/>
          <w:szCs w:val="24"/>
        </w:rPr>
        <w:t xml:space="preserve">Rashodi za zaposlene iznosili su </w:t>
      </w:r>
      <w:r w:rsidR="00F0468B" w:rsidRPr="002B6A0A">
        <w:rPr>
          <w:rFonts w:ascii="Times New Roman" w:hAnsi="Times New Roman" w:cs="Times New Roman"/>
          <w:sz w:val="24"/>
          <w:szCs w:val="24"/>
        </w:rPr>
        <w:t xml:space="preserve">1.284.049,14 eura </w:t>
      </w:r>
      <w:r w:rsidRPr="002B6A0A">
        <w:rPr>
          <w:rFonts w:ascii="Times New Roman" w:hAnsi="Times New Roman" w:cs="Times New Roman"/>
          <w:sz w:val="24"/>
          <w:szCs w:val="24"/>
        </w:rPr>
        <w:t xml:space="preserve">te su </w:t>
      </w:r>
      <w:r w:rsidR="00F0468B" w:rsidRPr="002B6A0A">
        <w:rPr>
          <w:rFonts w:ascii="Times New Roman" w:hAnsi="Times New Roman" w:cs="Times New Roman"/>
          <w:sz w:val="24"/>
          <w:szCs w:val="24"/>
        </w:rPr>
        <w:t xml:space="preserve">za 73% veći u odnosu na rashode za zaposlene iz prošle godine. </w:t>
      </w:r>
      <w:proofErr w:type="spellStart"/>
      <w:r w:rsidR="00F0468B" w:rsidRPr="002B6A0A">
        <w:rPr>
          <w:rFonts w:ascii="Times New Roman" w:hAnsi="Times New Roman" w:cs="Times New Roman"/>
          <w:sz w:val="24"/>
          <w:szCs w:val="24"/>
        </w:rPr>
        <w:t>Rezulat</w:t>
      </w:r>
      <w:proofErr w:type="spellEnd"/>
      <w:r w:rsidR="00F0468B" w:rsidRPr="002B6A0A">
        <w:rPr>
          <w:rFonts w:ascii="Times New Roman" w:hAnsi="Times New Roman" w:cs="Times New Roman"/>
          <w:sz w:val="24"/>
          <w:szCs w:val="24"/>
        </w:rPr>
        <w:t xml:space="preserve"> je to povećanja ukupnog broja zaposlenika </w:t>
      </w:r>
      <w:r w:rsidR="00675E5D" w:rsidRPr="002B6A0A">
        <w:rPr>
          <w:rFonts w:ascii="Times New Roman" w:hAnsi="Times New Roman" w:cs="Times New Roman"/>
          <w:sz w:val="24"/>
          <w:szCs w:val="24"/>
        </w:rPr>
        <w:t>sa 26 na 42</w:t>
      </w:r>
      <w:r w:rsidR="00F0468B" w:rsidRPr="002B6A0A">
        <w:t xml:space="preserve"> .</w:t>
      </w:r>
    </w:p>
    <w:p w14:paraId="2B00A499" w14:textId="5926D485" w:rsidR="00F0468B" w:rsidRDefault="00F0468B" w:rsidP="00F0468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8B">
        <w:rPr>
          <w:rFonts w:ascii="Times New Roman" w:hAnsi="Times New Roman" w:cs="Times New Roman"/>
          <w:sz w:val="24"/>
          <w:szCs w:val="24"/>
        </w:rPr>
        <w:t xml:space="preserve">6. ožujka 2024. godine izvršena je primopredaja Marine Zadar temeljem Odluke Vlade RH kojom se Lučkoj upravi Zadar na privremeno gospodarsko korištenje dodjeljuje lučko područje luke posebne namjene – luke nautičkog turizma – Marina Zadar i pomorskog dobra na dijelu k.o. Zadar, te je 16 djelatnika Marine Zadar postalo djelatnicima Lučke uprave Zadar. </w:t>
      </w:r>
    </w:p>
    <w:p w14:paraId="3F60DFA2" w14:textId="0E69E514" w:rsidR="004F6DF2" w:rsidRPr="004F6DF2" w:rsidRDefault="00F0468B" w:rsidP="00F0468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8B">
        <w:rPr>
          <w:rFonts w:ascii="Times New Roman" w:hAnsi="Times New Roman" w:cs="Times New Roman"/>
          <w:sz w:val="24"/>
          <w:szCs w:val="24"/>
        </w:rPr>
        <w:t>Dijelom je povećanje rashoda za zaposlene rezultat povećanja plaća uslijed primjene Uredbe o nazivima radnih mjesta, uvjetima za raspored i koeficijentima za obračun plaće u javnim službama (NN 22/2024).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2701F2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2266B6DD" w14:textId="3929AA8D" w:rsidR="004F6DF2" w:rsidRDefault="005552C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6A0A">
        <w:rPr>
          <w:rFonts w:ascii="Times New Roman" w:hAnsi="Times New Roman" w:cs="Times New Roman"/>
          <w:sz w:val="24"/>
          <w:szCs w:val="24"/>
        </w:rPr>
        <w:t>Materijalni rashodi ostvareni su u iznosu 1.</w:t>
      </w:r>
      <w:r w:rsidR="00AD42D1" w:rsidRPr="002B6A0A">
        <w:rPr>
          <w:rFonts w:ascii="Times New Roman" w:hAnsi="Times New Roman" w:cs="Times New Roman"/>
          <w:sz w:val="24"/>
          <w:szCs w:val="24"/>
        </w:rPr>
        <w:t>720</w:t>
      </w:r>
      <w:r w:rsidRPr="002B6A0A">
        <w:rPr>
          <w:rFonts w:ascii="Times New Roman" w:hAnsi="Times New Roman" w:cs="Times New Roman"/>
          <w:sz w:val="24"/>
          <w:szCs w:val="24"/>
        </w:rPr>
        <w:t>.</w:t>
      </w:r>
      <w:r w:rsidR="00AD42D1" w:rsidRPr="002B6A0A">
        <w:rPr>
          <w:rFonts w:ascii="Times New Roman" w:hAnsi="Times New Roman" w:cs="Times New Roman"/>
          <w:sz w:val="24"/>
          <w:szCs w:val="24"/>
        </w:rPr>
        <w:t>724,94</w:t>
      </w:r>
      <w:r w:rsidRPr="002B6A0A">
        <w:rPr>
          <w:rFonts w:ascii="Times New Roman" w:hAnsi="Times New Roman" w:cs="Times New Roman"/>
          <w:sz w:val="24"/>
          <w:szCs w:val="24"/>
        </w:rPr>
        <w:t xml:space="preserve"> eura te su </w:t>
      </w:r>
      <w:r w:rsidR="00AD42D1" w:rsidRPr="002B6A0A">
        <w:rPr>
          <w:rFonts w:ascii="Times New Roman" w:hAnsi="Times New Roman" w:cs="Times New Roman"/>
          <w:sz w:val="24"/>
          <w:szCs w:val="24"/>
        </w:rPr>
        <w:t xml:space="preserve">za 67% veći u odnosu na prošlu godinu </w:t>
      </w:r>
      <w:r w:rsidRPr="002B6A0A">
        <w:rPr>
          <w:rFonts w:ascii="Times New Roman" w:hAnsi="Times New Roman" w:cs="Times New Roman"/>
          <w:sz w:val="24"/>
          <w:szCs w:val="24"/>
        </w:rPr>
        <w:t xml:space="preserve">na razini rashoda iz prethodne godine. </w:t>
      </w:r>
      <w:r w:rsidR="002B6A0A" w:rsidRPr="002B6A0A">
        <w:rPr>
          <w:rFonts w:ascii="Times New Roman" w:hAnsi="Times New Roman" w:cs="Times New Roman"/>
          <w:sz w:val="24"/>
          <w:szCs w:val="24"/>
        </w:rPr>
        <w:t>Rasle su gotovo sve kategorije materijalnih rashoda, najvećim dijelom kao posljedica dodjele područja Marine Zadar na privremeno upravljanje.</w:t>
      </w:r>
    </w:p>
    <w:p w14:paraId="59820484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F430B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2AC40716" w14:textId="51D2BD54" w:rsidR="004F6DF2" w:rsidRPr="00036DEE" w:rsidRDefault="002A5175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Financijski rashodi ostvareni su u iznosu </w:t>
      </w:r>
      <w:r w:rsidR="00F32D10">
        <w:rPr>
          <w:rFonts w:ascii="Times New Roman" w:hAnsi="Times New Roman" w:cs="Times New Roman"/>
          <w:sz w:val="24"/>
          <w:szCs w:val="24"/>
        </w:rPr>
        <w:t>1.7</w:t>
      </w:r>
      <w:r w:rsidR="00AD42D1">
        <w:rPr>
          <w:rFonts w:ascii="Times New Roman" w:hAnsi="Times New Roman" w:cs="Times New Roman"/>
          <w:sz w:val="24"/>
          <w:szCs w:val="24"/>
        </w:rPr>
        <w:t>5</w:t>
      </w:r>
      <w:r w:rsidR="00F32D10">
        <w:rPr>
          <w:rFonts w:ascii="Times New Roman" w:hAnsi="Times New Roman" w:cs="Times New Roman"/>
          <w:sz w:val="24"/>
          <w:szCs w:val="24"/>
        </w:rPr>
        <w:t>0.625,57</w:t>
      </w:r>
      <w:r>
        <w:rPr>
          <w:rFonts w:ascii="Times New Roman" w:hAnsi="Times New Roman" w:cs="Times New Roman"/>
          <w:sz w:val="24"/>
          <w:szCs w:val="24"/>
        </w:rPr>
        <w:t xml:space="preserve"> eura. U strukturi financijskih rashoda najveći dio u iznosu 1.</w:t>
      </w:r>
      <w:r w:rsidR="00F32D10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2D10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D10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eura se odnosi na rashode za kamate po zajmu Europske investicijske banke.</w:t>
      </w:r>
    </w:p>
    <w:p w14:paraId="3D50993B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581335CA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03598D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8F67E4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7B915E6E" w14:textId="77777777" w:rsidR="00036DEE" w:rsidRDefault="00036DEE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E0A28A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C8564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76A2F34D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45CC76F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5BCDE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15052903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0321AC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4D2F8532" w14:textId="296E8137" w:rsidR="00036DEE" w:rsidRDefault="002B6AB2" w:rsidP="002B6AB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iznosili su ukupno 64.275,00 eura te obuhvaćaju ulaganja u licence u iznosu 52.025,00 eura te ulaganja u ostalu nematerijalnu imovinu u iznosu 12.250,00 eura. Ulaganja u licence se odnose na izradu procjene sigurnosne zaštite lučkih područja pod upravom Lučke uprave Zadar (21.400,00 eura) te uspostavljanje sustava upravljanja imovinom (30.625,00 eura)</w:t>
      </w:r>
    </w:p>
    <w:p w14:paraId="3315B478" w14:textId="23E07E07" w:rsidR="004F6DF2" w:rsidRPr="00036DEE" w:rsidRDefault="002B6AB2" w:rsidP="002B6AB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Ulaganja</w:t>
      </w:r>
      <w:r w:rsidRPr="002B6AB2">
        <w:t xml:space="preserve"> </w:t>
      </w:r>
      <w:r w:rsidRPr="002B6AB2">
        <w:rPr>
          <w:rFonts w:ascii="Times New Roman" w:hAnsi="Times New Roman" w:cs="Times New Roman"/>
          <w:sz w:val="24"/>
          <w:szCs w:val="24"/>
        </w:rPr>
        <w:t>u ostalu nematerijalnu imovinu</w:t>
      </w:r>
      <w:r>
        <w:rPr>
          <w:rFonts w:ascii="Times New Roman" w:hAnsi="Times New Roman" w:cs="Times New Roman"/>
          <w:sz w:val="24"/>
          <w:szCs w:val="24"/>
        </w:rPr>
        <w:t xml:space="preserve"> odnose se na usluge izrade I. faze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masterplana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razvoja teretne luke. </w:t>
      </w:r>
    </w:p>
    <w:p w14:paraId="62B9404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648F0177" w14:textId="1AB854D8" w:rsidR="00325922" w:rsidRPr="00325922" w:rsidRDefault="00325922" w:rsidP="003259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25922">
        <w:rPr>
          <w:rFonts w:ascii="Times New Roman" w:hAnsi="Times New Roman" w:cs="Times New Roman"/>
          <w:sz w:val="24"/>
          <w:szCs w:val="24"/>
        </w:rPr>
        <w:t xml:space="preserve">Rashodi za nabavu </w:t>
      </w:r>
      <w:r>
        <w:rPr>
          <w:rFonts w:ascii="Times New Roman" w:hAnsi="Times New Roman" w:cs="Times New Roman"/>
          <w:sz w:val="24"/>
          <w:szCs w:val="24"/>
        </w:rPr>
        <w:t xml:space="preserve">proizvedene nefinancijske </w:t>
      </w:r>
      <w:r w:rsidRPr="00325922">
        <w:rPr>
          <w:rFonts w:ascii="Times New Roman" w:hAnsi="Times New Roman" w:cs="Times New Roman"/>
          <w:sz w:val="24"/>
          <w:szCs w:val="24"/>
        </w:rPr>
        <w:t>imovine iznos</w:t>
      </w:r>
      <w:r>
        <w:rPr>
          <w:rFonts w:ascii="Times New Roman" w:hAnsi="Times New Roman" w:cs="Times New Roman"/>
          <w:sz w:val="24"/>
          <w:szCs w:val="24"/>
        </w:rPr>
        <w:t xml:space="preserve">ili su </w:t>
      </w:r>
      <w:r w:rsidR="00FF14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42E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42E">
        <w:rPr>
          <w:rFonts w:ascii="Times New Roman" w:hAnsi="Times New Roman" w:cs="Times New Roman"/>
          <w:sz w:val="24"/>
          <w:szCs w:val="24"/>
        </w:rPr>
        <w:t>157,27</w:t>
      </w:r>
      <w:r>
        <w:rPr>
          <w:rFonts w:ascii="Times New Roman" w:hAnsi="Times New Roman" w:cs="Times New Roman"/>
          <w:sz w:val="24"/>
          <w:szCs w:val="24"/>
        </w:rPr>
        <w:t xml:space="preserve"> eura. Najveći dio odnosi se na ulaganja </w:t>
      </w:r>
      <w:r w:rsidRPr="00325922">
        <w:rPr>
          <w:rFonts w:ascii="Times New Roman" w:hAnsi="Times New Roman" w:cs="Times New Roman"/>
          <w:sz w:val="24"/>
          <w:szCs w:val="24"/>
        </w:rPr>
        <w:t>u projekte:</w:t>
      </w:r>
    </w:p>
    <w:p w14:paraId="0B21B62C" w14:textId="77777777" w:rsidR="00FF142E" w:rsidRPr="00FF142E" w:rsidRDefault="00325922" w:rsidP="00FF142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25922">
        <w:rPr>
          <w:rFonts w:ascii="Times New Roman" w:hAnsi="Times New Roman" w:cs="Times New Roman"/>
          <w:sz w:val="24"/>
          <w:szCs w:val="24"/>
        </w:rPr>
        <w:t>-</w:t>
      </w:r>
      <w:r w:rsidRPr="00325922">
        <w:rPr>
          <w:rFonts w:ascii="Times New Roman" w:hAnsi="Times New Roman" w:cs="Times New Roman"/>
          <w:sz w:val="24"/>
          <w:szCs w:val="24"/>
        </w:rPr>
        <w:tab/>
        <w:t xml:space="preserve">RIBARSKA LUKA VELA LAMJANA, KALI - FAZA 2 - POVEĆANJE KVALITETE, KONTROLE I SLJEDIVOSTI ISKRCAJA RIBARSKIH PLOVILA LUKE VELA LAMJANA, KALI – </w:t>
      </w:r>
      <w:r w:rsidR="00FF142E" w:rsidRPr="00FF142E">
        <w:rPr>
          <w:rFonts w:ascii="Times New Roman" w:hAnsi="Times New Roman" w:cs="Times New Roman"/>
          <w:sz w:val="24"/>
          <w:szCs w:val="24"/>
        </w:rPr>
        <w:t>2.819.605,37 eura</w:t>
      </w:r>
    </w:p>
    <w:p w14:paraId="27566AE3" w14:textId="77777777" w:rsidR="00FF142E" w:rsidRPr="00FF142E" w:rsidRDefault="00FF142E" w:rsidP="00FF142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142E">
        <w:rPr>
          <w:rFonts w:ascii="Times New Roman" w:hAnsi="Times New Roman" w:cs="Times New Roman"/>
          <w:sz w:val="24"/>
          <w:szCs w:val="24"/>
        </w:rPr>
        <w:t>-</w:t>
      </w:r>
      <w:r w:rsidRPr="00FF142E">
        <w:rPr>
          <w:rFonts w:ascii="Times New Roman" w:hAnsi="Times New Roman" w:cs="Times New Roman"/>
          <w:sz w:val="24"/>
          <w:szCs w:val="24"/>
        </w:rPr>
        <w:tab/>
        <w:t>Ulaganja u sanaciju, rekonstrukciju i modernizaciju teretne luke Gaženica  – 194.888,52 eura</w:t>
      </w:r>
    </w:p>
    <w:p w14:paraId="50823C13" w14:textId="394F4315" w:rsidR="004F6DF2" w:rsidRPr="00036DEE" w:rsidRDefault="00FF142E" w:rsidP="00FF142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F142E">
        <w:rPr>
          <w:rFonts w:ascii="Times New Roman" w:hAnsi="Times New Roman" w:cs="Times New Roman"/>
          <w:sz w:val="24"/>
          <w:szCs w:val="24"/>
        </w:rPr>
        <w:t xml:space="preserve">- </w:t>
      </w:r>
      <w:r w:rsidRPr="00FF142E">
        <w:rPr>
          <w:rFonts w:ascii="Times New Roman" w:hAnsi="Times New Roman" w:cs="Times New Roman"/>
          <w:sz w:val="24"/>
          <w:szCs w:val="24"/>
        </w:rPr>
        <w:tab/>
        <w:t>Ulaganja u svrhu uspostavljanja Sustav za mjerenje kvalitete zraka – 100.950,00 eura.</w:t>
      </w:r>
    </w:p>
    <w:p w14:paraId="2F479539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683469E5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CF6D41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9F2224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48ED9C83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E9A3AD5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DCFF723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0E48D9ED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DD1545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85A613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530EA9FE" w14:textId="13945777" w:rsid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Izdaci za financijsku imovinu i otplate zajmova odnose se na otplatu zajma Europske investicijske banke br. 24.093 u iznosu 3.762.101</w:t>
      </w:r>
      <w:r w:rsidR="00835AC3">
        <w:rPr>
          <w:rFonts w:ascii="Times New Roman" w:hAnsi="Times New Roman" w:cs="Times New Roman"/>
          <w:sz w:val="24"/>
          <w:szCs w:val="24"/>
        </w:rPr>
        <w:t>,30</w:t>
      </w:r>
      <w:r w:rsidRPr="00E213F9">
        <w:rPr>
          <w:rFonts w:ascii="Times New Roman" w:hAnsi="Times New Roman" w:cs="Times New Roman"/>
          <w:sz w:val="24"/>
          <w:szCs w:val="24"/>
        </w:rPr>
        <w:t xml:space="preserve"> eura, kojim je financirana izgradnja Nove luke Gaženica.</w:t>
      </w:r>
    </w:p>
    <w:p w14:paraId="749C4E83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2B7CDE3E" w14:textId="77777777" w:rsidR="000D58E1" w:rsidRDefault="000D58E1" w:rsidP="00036DEE">
      <w:pPr>
        <w:pStyle w:val="Heading1"/>
      </w:pPr>
      <w:bookmarkStart w:id="8" w:name="_Toc128989460"/>
      <w:r w:rsidRPr="00614260">
        <w:t>B I LJ E Š K E  U Z  O B R A Z A C  P – V R I O</w:t>
      </w:r>
      <w:bookmarkEnd w:id="8"/>
    </w:p>
    <w:p w14:paraId="7066C4AA" w14:textId="77777777" w:rsidR="004F6DF2" w:rsidRPr="004F6DF2" w:rsidRDefault="004F6DF2" w:rsidP="004F6DF2"/>
    <w:p w14:paraId="3193AD49" w14:textId="77777777" w:rsidR="000D58E1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024CC7C0" w14:textId="1A733013" w:rsid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U Izvještaju o promjenama u vrijednosti i obujmu imovine i obveza za 202</w:t>
      </w:r>
      <w:r w:rsidR="009503CB">
        <w:rPr>
          <w:rFonts w:ascii="Times New Roman" w:hAnsi="Times New Roman" w:cs="Times New Roman"/>
          <w:sz w:val="24"/>
          <w:szCs w:val="24"/>
        </w:rPr>
        <w:t>4</w:t>
      </w:r>
      <w:r w:rsidRPr="00E213F9">
        <w:rPr>
          <w:rFonts w:ascii="Times New Roman" w:hAnsi="Times New Roman" w:cs="Times New Roman"/>
          <w:sz w:val="24"/>
          <w:szCs w:val="24"/>
        </w:rPr>
        <w:t>. godinu nisu iskazane promjene.</w:t>
      </w:r>
    </w:p>
    <w:p w14:paraId="5697D35C" w14:textId="77777777" w:rsidR="002F6EF6" w:rsidRDefault="002F6EF6" w:rsidP="00036DEE">
      <w:pPr>
        <w:pStyle w:val="Heading1"/>
      </w:pPr>
      <w:bookmarkStart w:id="9" w:name="_Toc128989461"/>
    </w:p>
    <w:p w14:paraId="29E921FE" w14:textId="77777777" w:rsidR="002F6EF6" w:rsidRDefault="002F6EF6" w:rsidP="002F6EF6"/>
    <w:p w14:paraId="6FC9C518" w14:textId="77777777" w:rsidR="002F6EF6" w:rsidRPr="002F6EF6" w:rsidRDefault="002F6EF6" w:rsidP="002F6EF6"/>
    <w:p w14:paraId="2A9B0FEC" w14:textId="77777777" w:rsidR="000D58E1" w:rsidRPr="00614260" w:rsidRDefault="00005934" w:rsidP="00036DEE">
      <w:pPr>
        <w:pStyle w:val="Heading1"/>
      </w:pPr>
      <w:r w:rsidRPr="00614260">
        <w:t>R A S – f u n k c i j s k i</w:t>
      </w:r>
      <w:bookmarkEnd w:id="9"/>
    </w:p>
    <w:p w14:paraId="19BEA149" w14:textId="77777777" w:rsidR="000D58E1" w:rsidRDefault="00D91326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413E2B1C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08B6DA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5B8F54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099663F5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856AB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5B0D73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4BFBC3F1" w14:textId="7F600435" w:rsidR="004F6DF2" w:rsidRP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 xml:space="preserve">U Izvještaju o rashodima prema funkcijskoj klasifikaciji svi rashodi poslovanja (razred 3) i rashodi za nabavu nefinancijske imovine (razred 4) ostvareni su unutar oznaka 0452 – Promet vodenim tokovima u iznosu </w:t>
      </w:r>
      <w:r w:rsidR="00AD42D1">
        <w:rPr>
          <w:rFonts w:ascii="Times New Roman" w:hAnsi="Times New Roman" w:cs="Times New Roman"/>
          <w:sz w:val="24"/>
          <w:szCs w:val="24"/>
        </w:rPr>
        <w:t>8</w:t>
      </w:r>
      <w:r w:rsidR="008B1171" w:rsidRPr="00AD42D1">
        <w:rPr>
          <w:rFonts w:ascii="Times New Roman" w:hAnsi="Times New Roman" w:cs="Times New Roman"/>
          <w:sz w:val="24"/>
          <w:szCs w:val="24"/>
        </w:rPr>
        <w:t>.</w:t>
      </w:r>
      <w:r w:rsidR="00AD42D1" w:rsidRPr="00AD42D1">
        <w:rPr>
          <w:rFonts w:ascii="Times New Roman" w:hAnsi="Times New Roman" w:cs="Times New Roman"/>
          <w:sz w:val="24"/>
          <w:szCs w:val="24"/>
        </w:rPr>
        <w:t>093</w:t>
      </w:r>
      <w:r w:rsidR="008B1171" w:rsidRPr="00AD42D1">
        <w:rPr>
          <w:rFonts w:ascii="Times New Roman" w:hAnsi="Times New Roman" w:cs="Times New Roman"/>
          <w:sz w:val="24"/>
          <w:szCs w:val="24"/>
        </w:rPr>
        <w:t>.</w:t>
      </w:r>
      <w:r w:rsidR="00AD42D1" w:rsidRPr="00AD42D1">
        <w:rPr>
          <w:rFonts w:ascii="Times New Roman" w:hAnsi="Times New Roman" w:cs="Times New Roman"/>
          <w:sz w:val="24"/>
          <w:szCs w:val="24"/>
        </w:rPr>
        <w:t>831</w:t>
      </w:r>
      <w:r w:rsidR="008B1171" w:rsidRPr="00AD42D1">
        <w:rPr>
          <w:rFonts w:ascii="Times New Roman" w:hAnsi="Times New Roman" w:cs="Times New Roman"/>
          <w:sz w:val="24"/>
          <w:szCs w:val="24"/>
        </w:rPr>
        <w:t>,</w:t>
      </w:r>
      <w:r w:rsidR="00AD42D1" w:rsidRPr="00AD42D1">
        <w:rPr>
          <w:rFonts w:ascii="Times New Roman" w:hAnsi="Times New Roman" w:cs="Times New Roman"/>
          <w:sz w:val="24"/>
          <w:szCs w:val="24"/>
        </w:rPr>
        <w:t>92</w:t>
      </w:r>
      <w:r w:rsidRPr="00AD42D1">
        <w:rPr>
          <w:rFonts w:ascii="Times New Roman" w:hAnsi="Times New Roman" w:cs="Times New Roman"/>
          <w:sz w:val="24"/>
          <w:szCs w:val="24"/>
        </w:rPr>
        <w:t xml:space="preserve"> eura.</w:t>
      </w:r>
      <w:r w:rsidRPr="00E213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98DB81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4729AD5E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ECD04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BFE370A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529243E9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044343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93CB0A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37E12D27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48E07E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D342B3" w14:textId="77777777" w:rsidR="0069302A" w:rsidRPr="00614260" w:rsidRDefault="000D58E1" w:rsidP="00036DEE">
      <w:pPr>
        <w:pStyle w:val="Heading1"/>
      </w:pPr>
      <w:bookmarkStart w:id="10" w:name="_Toc128989462"/>
      <w:r w:rsidRPr="00614260">
        <w:t>B I LJ E Š K E  U Z  O B R A Z A C  O B V E Z E</w:t>
      </w:r>
      <w:bookmarkEnd w:id="10"/>
    </w:p>
    <w:p w14:paraId="2EB2B5EE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18FA2A54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176F9A9B" w14:textId="3537EEA2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U Izvještaju o obvezama utvrđeni iznos obveza na dan 31.12.202</w:t>
      </w:r>
      <w:r w:rsidR="00BD037F">
        <w:rPr>
          <w:rFonts w:ascii="Times New Roman" w:hAnsi="Times New Roman" w:cs="Times New Roman"/>
          <w:sz w:val="24"/>
          <w:szCs w:val="24"/>
        </w:rPr>
        <w:t>4</w:t>
      </w:r>
      <w:r w:rsidRPr="00E213F9">
        <w:rPr>
          <w:rFonts w:ascii="Times New Roman" w:hAnsi="Times New Roman" w:cs="Times New Roman"/>
          <w:sz w:val="24"/>
          <w:szCs w:val="24"/>
        </w:rPr>
        <w:t xml:space="preserve">.godine (V006) iznosi </w:t>
      </w:r>
      <w:r w:rsidR="00F35829">
        <w:rPr>
          <w:rFonts w:ascii="Times New Roman" w:hAnsi="Times New Roman" w:cs="Times New Roman"/>
          <w:sz w:val="24"/>
          <w:szCs w:val="24"/>
        </w:rPr>
        <w:t>48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="00F35829">
        <w:rPr>
          <w:rFonts w:ascii="Times New Roman" w:hAnsi="Times New Roman" w:cs="Times New Roman"/>
          <w:sz w:val="24"/>
          <w:szCs w:val="24"/>
        </w:rPr>
        <w:t>323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="00F35829">
        <w:rPr>
          <w:rFonts w:ascii="Times New Roman" w:hAnsi="Times New Roman" w:cs="Times New Roman"/>
          <w:sz w:val="24"/>
          <w:szCs w:val="24"/>
        </w:rPr>
        <w:t>17</w:t>
      </w:r>
      <w:r w:rsidR="008B1171">
        <w:rPr>
          <w:rFonts w:ascii="Times New Roman" w:hAnsi="Times New Roman" w:cs="Times New Roman"/>
          <w:sz w:val="24"/>
          <w:szCs w:val="24"/>
        </w:rPr>
        <w:t>5,</w:t>
      </w:r>
      <w:r w:rsidR="00F35829">
        <w:rPr>
          <w:rFonts w:ascii="Times New Roman" w:hAnsi="Times New Roman" w:cs="Times New Roman"/>
          <w:sz w:val="24"/>
          <w:szCs w:val="24"/>
        </w:rPr>
        <w:t>77</w:t>
      </w:r>
      <w:r w:rsidR="008B1171">
        <w:rPr>
          <w:rFonts w:ascii="Times New Roman" w:hAnsi="Times New Roman" w:cs="Times New Roman"/>
          <w:sz w:val="24"/>
          <w:szCs w:val="24"/>
        </w:rPr>
        <w:t xml:space="preserve">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, a obuhvaća: </w:t>
      </w:r>
    </w:p>
    <w:p w14:paraId="2F8ADBE4" w14:textId="77777777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D227A6A" w14:textId="460D58A0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plaću za prosinac koja će biti isplaćena u </w:t>
      </w:r>
      <w:r w:rsidR="008B1171">
        <w:rPr>
          <w:rFonts w:ascii="Times New Roman" w:hAnsi="Times New Roman" w:cs="Times New Roman"/>
          <w:sz w:val="24"/>
          <w:szCs w:val="24"/>
        </w:rPr>
        <w:t>siječnju 202</w:t>
      </w:r>
      <w:r w:rsidR="00FF142E">
        <w:rPr>
          <w:rFonts w:ascii="Times New Roman" w:hAnsi="Times New Roman" w:cs="Times New Roman"/>
          <w:sz w:val="24"/>
          <w:szCs w:val="24"/>
        </w:rPr>
        <w:t>5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  <w:r w:rsidR="00FF142E">
        <w:rPr>
          <w:rFonts w:ascii="Times New Roman" w:hAnsi="Times New Roman" w:cs="Times New Roman"/>
          <w:sz w:val="24"/>
          <w:szCs w:val="24"/>
        </w:rPr>
        <w:t xml:space="preserve">godine </w:t>
      </w:r>
      <w:r w:rsidRPr="00E213F9">
        <w:rPr>
          <w:rFonts w:ascii="Times New Roman" w:hAnsi="Times New Roman" w:cs="Times New Roman"/>
          <w:sz w:val="24"/>
          <w:szCs w:val="24"/>
        </w:rPr>
        <w:t xml:space="preserve">u iznosu </w:t>
      </w:r>
      <w:r w:rsidR="00F35829">
        <w:rPr>
          <w:rFonts w:ascii="Times New Roman" w:hAnsi="Times New Roman" w:cs="Times New Roman"/>
          <w:sz w:val="24"/>
          <w:szCs w:val="24"/>
        </w:rPr>
        <w:t>117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="00F35829">
        <w:rPr>
          <w:rFonts w:ascii="Times New Roman" w:hAnsi="Times New Roman" w:cs="Times New Roman"/>
          <w:sz w:val="24"/>
          <w:szCs w:val="24"/>
        </w:rPr>
        <w:t>496</w:t>
      </w:r>
      <w:r w:rsidR="008B1171">
        <w:rPr>
          <w:rFonts w:ascii="Times New Roman" w:hAnsi="Times New Roman" w:cs="Times New Roman"/>
          <w:sz w:val="24"/>
          <w:szCs w:val="24"/>
        </w:rPr>
        <w:t>,</w:t>
      </w:r>
      <w:r w:rsidR="00F35829">
        <w:rPr>
          <w:rFonts w:ascii="Times New Roman" w:hAnsi="Times New Roman" w:cs="Times New Roman"/>
          <w:sz w:val="24"/>
          <w:szCs w:val="24"/>
        </w:rPr>
        <w:t>69</w:t>
      </w:r>
      <w:r w:rsidR="008B1171">
        <w:rPr>
          <w:rFonts w:ascii="Times New Roman" w:hAnsi="Times New Roman" w:cs="Times New Roman"/>
          <w:sz w:val="24"/>
          <w:szCs w:val="24"/>
        </w:rPr>
        <w:t xml:space="preserve">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F2461" w14:textId="589E8B25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materijalne rashode u iznosu </w:t>
      </w:r>
      <w:r w:rsidR="00F35829">
        <w:rPr>
          <w:rFonts w:ascii="Times New Roman" w:hAnsi="Times New Roman" w:cs="Times New Roman"/>
          <w:sz w:val="24"/>
          <w:szCs w:val="24"/>
        </w:rPr>
        <w:t>125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="00F35829">
        <w:rPr>
          <w:rFonts w:ascii="Times New Roman" w:hAnsi="Times New Roman" w:cs="Times New Roman"/>
          <w:sz w:val="24"/>
          <w:szCs w:val="24"/>
        </w:rPr>
        <w:t>108</w:t>
      </w:r>
      <w:r w:rsidR="008B1171">
        <w:rPr>
          <w:rFonts w:ascii="Times New Roman" w:hAnsi="Times New Roman" w:cs="Times New Roman"/>
          <w:sz w:val="24"/>
          <w:szCs w:val="24"/>
        </w:rPr>
        <w:t>,</w:t>
      </w:r>
      <w:r w:rsidR="00F35829">
        <w:rPr>
          <w:rFonts w:ascii="Times New Roman" w:hAnsi="Times New Roman" w:cs="Times New Roman"/>
          <w:sz w:val="24"/>
          <w:szCs w:val="24"/>
        </w:rPr>
        <w:t>52</w:t>
      </w:r>
      <w:r w:rsidR="008B1171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5E3580E" w14:textId="41E90B99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financijske rashode u iznosu </w:t>
      </w:r>
      <w:r w:rsidR="008B1171">
        <w:rPr>
          <w:rFonts w:ascii="Times New Roman" w:hAnsi="Times New Roman" w:cs="Times New Roman"/>
          <w:sz w:val="24"/>
          <w:szCs w:val="24"/>
        </w:rPr>
        <w:t>1</w:t>
      </w:r>
      <w:r w:rsidR="00F35829">
        <w:rPr>
          <w:rFonts w:ascii="Times New Roman" w:hAnsi="Times New Roman" w:cs="Times New Roman"/>
          <w:sz w:val="24"/>
          <w:szCs w:val="24"/>
        </w:rPr>
        <w:t>5</w:t>
      </w:r>
      <w:r w:rsidR="008B1171">
        <w:rPr>
          <w:rFonts w:ascii="Times New Roman" w:hAnsi="Times New Roman" w:cs="Times New Roman"/>
          <w:sz w:val="24"/>
          <w:szCs w:val="24"/>
        </w:rPr>
        <w:t>,1</w:t>
      </w:r>
      <w:r w:rsidR="00F35829">
        <w:rPr>
          <w:rFonts w:ascii="Times New Roman" w:hAnsi="Times New Roman" w:cs="Times New Roman"/>
          <w:sz w:val="24"/>
          <w:szCs w:val="24"/>
        </w:rPr>
        <w:t>3</w:t>
      </w:r>
      <w:r w:rsidR="008B1171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DB6017B" w14:textId="35E75092" w:rsidR="00E213F9" w:rsidRP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>o</w:t>
      </w:r>
      <w:r w:rsidR="008B1171">
        <w:rPr>
          <w:rFonts w:ascii="Times New Roman" w:hAnsi="Times New Roman" w:cs="Times New Roman"/>
          <w:sz w:val="24"/>
          <w:szCs w:val="24"/>
        </w:rPr>
        <w:t>stale tekuće obveze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  <w:r w:rsidR="00F35829">
        <w:rPr>
          <w:rFonts w:ascii="Times New Roman" w:hAnsi="Times New Roman" w:cs="Times New Roman"/>
          <w:sz w:val="24"/>
          <w:szCs w:val="24"/>
        </w:rPr>
        <w:t>17.024,34</w:t>
      </w:r>
      <w:r w:rsidR="008B1171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A6390D8" w14:textId="11D15EF1" w:rsidR="00E213F9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nabavu nefinancijske imovine u iznosu </w:t>
      </w:r>
      <w:r w:rsidR="00F35829">
        <w:rPr>
          <w:rFonts w:ascii="Times New Roman" w:hAnsi="Times New Roman" w:cs="Times New Roman"/>
          <w:sz w:val="24"/>
          <w:szCs w:val="24"/>
        </w:rPr>
        <w:t>0</w:t>
      </w:r>
      <w:r w:rsidR="008B1171">
        <w:rPr>
          <w:rFonts w:ascii="Times New Roman" w:hAnsi="Times New Roman" w:cs="Times New Roman"/>
          <w:sz w:val="24"/>
          <w:szCs w:val="24"/>
        </w:rPr>
        <w:t>,00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78FE7" w14:textId="05707799" w:rsidR="00F35829" w:rsidRPr="00F35829" w:rsidRDefault="00F35829" w:rsidP="00F35829">
      <w:pPr>
        <w:pStyle w:val="ListParagraph"/>
        <w:numPr>
          <w:ilvl w:val="0"/>
          <w:numId w:val="6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F35829">
        <w:rPr>
          <w:rFonts w:ascii="Times New Roman" w:hAnsi="Times New Roman" w:cs="Times New Roman"/>
          <w:sz w:val="24"/>
          <w:szCs w:val="24"/>
        </w:rPr>
        <w:t xml:space="preserve">obveze za nabavu </w:t>
      </w:r>
      <w:r>
        <w:rPr>
          <w:rFonts w:ascii="Times New Roman" w:hAnsi="Times New Roman" w:cs="Times New Roman"/>
          <w:sz w:val="24"/>
          <w:szCs w:val="24"/>
        </w:rPr>
        <w:t>proizvedene dugotrajne</w:t>
      </w:r>
      <w:r w:rsidRPr="00F35829">
        <w:rPr>
          <w:rFonts w:ascii="Times New Roman" w:hAnsi="Times New Roman" w:cs="Times New Roman"/>
          <w:sz w:val="24"/>
          <w:szCs w:val="24"/>
        </w:rPr>
        <w:t xml:space="preserve"> imovine u iznosu </w:t>
      </w:r>
      <w:r>
        <w:rPr>
          <w:rFonts w:ascii="Times New Roman" w:hAnsi="Times New Roman" w:cs="Times New Roman"/>
          <w:sz w:val="24"/>
          <w:szCs w:val="24"/>
        </w:rPr>
        <w:t>1.429,69</w:t>
      </w:r>
      <w:r w:rsidRPr="00F35829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9ECE6B1" w14:textId="21455E7C" w:rsidR="004F6DF2" w:rsidRPr="004F6DF2" w:rsidRDefault="00E213F9" w:rsidP="00E213F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•</w:t>
      </w:r>
      <w:r w:rsidRPr="00E213F9">
        <w:rPr>
          <w:rFonts w:ascii="Times New Roman" w:hAnsi="Times New Roman" w:cs="Times New Roman"/>
          <w:sz w:val="24"/>
          <w:szCs w:val="24"/>
        </w:rPr>
        <w:tab/>
        <w:t xml:space="preserve">obveze za kredite i zajmove u iznosu </w:t>
      </w:r>
      <w:r w:rsidR="00F35829">
        <w:rPr>
          <w:rFonts w:ascii="Times New Roman" w:hAnsi="Times New Roman" w:cs="Times New Roman"/>
          <w:sz w:val="24"/>
          <w:szCs w:val="24"/>
        </w:rPr>
        <w:t>48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="00F35829">
        <w:rPr>
          <w:rFonts w:ascii="Times New Roman" w:hAnsi="Times New Roman" w:cs="Times New Roman"/>
          <w:sz w:val="24"/>
          <w:szCs w:val="24"/>
        </w:rPr>
        <w:t>062</w:t>
      </w:r>
      <w:r w:rsidR="008B1171">
        <w:rPr>
          <w:rFonts w:ascii="Times New Roman" w:hAnsi="Times New Roman" w:cs="Times New Roman"/>
          <w:sz w:val="24"/>
          <w:szCs w:val="24"/>
        </w:rPr>
        <w:t>.</w:t>
      </w:r>
      <w:r w:rsidR="00F35829">
        <w:rPr>
          <w:rFonts w:ascii="Times New Roman" w:hAnsi="Times New Roman" w:cs="Times New Roman"/>
          <w:sz w:val="24"/>
          <w:szCs w:val="24"/>
        </w:rPr>
        <w:t>101</w:t>
      </w:r>
      <w:r w:rsidR="008B1171">
        <w:rPr>
          <w:rFonts w:ascii="Times New Roman" w:hAnsi="Times New Roman" w:cs="Times New Roman"/>
          <w:sz w:val="24"/>
          <w:szCs w:val="24"/>
        </w:rPr>
        <w:t>,</w:t>
      </w:r>
      <w:r w:rsidR="00F35829">
        <w:rPr>
          <w:rFonts w:ascii="Times New Roman" w:hAnsi="Times New Roman" w:cs="Times New Roman"/>
          <w:sz w:val="24"/>
          <w:szCs w:val="24"/>
        </w:rPr>
        <w:t>4</w:t>
      </w:r>
      <w:r w:rsidR="008B1171">
        <w:rPr>
          <w:rFonts w:ascii="Times New Roman" w:hAnsi="Times New Roman" w:cs="Times New Roman"/>
          <w:sz w:val="24"/>
          <w:szCs w:val="24"/>
        </w:rPr>
        <w:t>0 eura</w:t>
      </w:r>
      <w:r w:rsidRPr="00E213F9">
        <w:rPr>
          <w:rFonts w:ascii="Times New Roman" w:hAnsi="Times New Roman" w:cs="Times New Roman"/>
          <w:sz w:val="24"/>
          <w:szCs w:val="24"/>
        </w:rPr>
        <w:t xml:space="preserve"> (saldo zajma Europske investicijske banke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05AF51B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1F7A930C" w14:textId="7217E837" w:rsidR="004F6DF2" w:rsidRP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213F9">
        <w:rPr>
          <w:rFonts w:ascii="Times New Roman" w:hAnsi="Times New Roman" w:cs="Times New Roman"/>
          <w:sz w:val="24"/>
          <w:szCs w:val="24"/>
        </w:rPr>
        <w:t>Na kraju izvještajnog razdoblja nisu evidentirane dospjele obveze niti prekoračenja rokova plaćanja obveza.</w:t>
      </w:r>
    </w:p>
    <w:p w14:paraId="3C68051B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679DE4B9" w14:textId="5D0447B0" w:rsidR="004F6DF2" w:rsidRDefault="00E213F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</w:t>
      </w:r>
      <w:r w:rsidR="003A18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nedospjelih obveza na kraju izvještajnog </w:t>
      </w:r>
      <w:r w:rsidRPr="008B1171">
        <w:rPr>
          <w:rFonts w:ascii="Times New Roman" w:hAnsi="Times New Roman" w:cs="Times New Roman"/>
          <w:sz w:val="24"/>
          <w:szCs w:val="24"/>
        </w:rPr>
        <w:t xml:space="preserve">razdoblja iznosi </w:t>
      </w:r>
      <w:r w:rsidR="00F35829">
        <w:rPr>
          <w:rFonts w:ascii="Times New Roman" w:hAnsi="Times New Roman" w:cs="Times New Roman"/>
          <w:sz w:val="24"/>
          <w:szCs w:val="24"/>
        </w:rPr>
        <w:t>48.323.175,77</w:t>
      </w:r>
      <w:r w:rsidR="008B1171" w:rsidRPr="008B1171">
        <w:rPr>
          <w:rFonts w:ascii="Times New Roman" w:hAnsi="Times New Roman" w:cs="Times New Roman"/>
          <w:sz w:val="24"/>
          <w:szCs w:val="24"/>
        </w:rPr>
        <w:t xml:space="preserve"> eura</w:t>
      </w:r>
      <w:r w:rsidRPr="008B1171">
        <w:rPr>
          <w:rFonts w:ascii="Times New Roman" w:hAnsi="Times New Roman" w:cs="Times New Roman"/>
          <w:sz w:val="24"/>
          <w:szCs w:val="24"/>
        </w:rPr>
        <w:t>.</w:t>
      </w:r>
    </w:p>
    <w:p w14:paraId="6AE5B833" w14:textId="77777777" w:rsidR="00421CD2" w:rsidRPr="00421CD2" w:rsidRDefault="00421CD2" w:rsidP="00421CD2">
      <w:pPr>
        <w:rPr>
          <w:rFonts w:ascii="Times New Roman" w:hAnsi="Times New Roman" w:cs="Times New Roman"/>
          <w:sz w:val="24"/>
          <w:szCs w:val="24"/>
        </w:rPr>
      </w:pPr>
    </w:p>
    <w:sectPr w:rsidR="00421CD2" w:rsidRPr="00421CD2" w:rsidSect="00757699">
      <w:footerReference w:type="default" r:id="rId11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CC45" w14:textId="77777777" w:rsidR="00F7285F" w:rsidRDefault="00F7285F" w:rsidP="00CC75C5">
      <w:pPr>
        <w:spacing w:after="0" w:line="240" w:lineRule="auto"/>
      </w:pPr>
      <w:r>
        <w:separator/>
      </w:r>
    </w:p>
  </w:endnote>
  <w:endnote w:type="continuationSeparator" w:id="0">
    <w:p w14:paraId="1D350EDB" w14:textId="77777777" w:rsidR="00F7285F" w:rsidRDefault="00F7285F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B4747D" w14:textId="77777777" w:rsidR="00CC75C5" w:rsidRDefault="00CC75C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58B78" w14:textId="77777777" w:rsidR="00CC75C5" w:rsidRDefault="00C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3E52" w14:textId="77777777" w:rsidR="00F7285F" w:rsidRDefault="00F7285F" w:rsidP="00CC75C5">
      <w:pPr>
        <w:spacing w:after="0" w:line="240" w:lineRule="auto"/>
      </w:pPr>
      <w:r>
        <w:separator/>
      </w:r>
    </w:p>
  </w:footnote>
  <w:footnote w:type="continuationSeparator" w:id="0">
    <w:p w14:paraId="2545797E" w14:textId="77777777" w:rsidR="00F7285F" w:rsidRDefault="00F7285F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09AE"/>
    <w:multiLevelType w:val="hybridMultilevel"/>
    <w:tmpl w:val="C128A4FC"/>
    <w:lvl w:ilvl="0" w:tplc="A66AD9D8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A84435"/>
    <w:multiLevelType w:val="hybridMultilevel"/>
    <w:tmpl w:val="E8082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6112661">
    <w:abstractNumId w:val="4"/>
  </w:num>
  <w:num w:numId="2" w16cid:durableId="1037463409">
    <w:abstractNumId w:val="5"/>
  </w:num>
  <w:num w:numId="3" w16cid:durableId="203492847">
    <w:abstractNumId w:val="2"/>
  </w:num>
  <w:num w:numId="4" w16cid:durableId="1916353222">
    <w:abstractNumId w:val="1"/>
  </w:num>
  <w:num w:numId="5" w16cid:durableId="291599233">
    <w:abstractNumId w:val="3"/>
  </w:num>
  <w:num w:numId="6" w16cid:durableId="86679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27A"/>
    <w:rsid w:val="00036DEE"/>
    <w:rsid w:val="000436C0"/>
    <w:rsid w:val="00057FE7"/>
    <w:rsid w:val="00064C4E"/>
    <w:rsid w:val="00072944"/>
    <w:rsid w:val="00087C3C"/>
    <w:rsid w:val="000A0ED1"/>
    <w:rsid w:val="000C01F8"/>
    <w:rsid w:val="000D58E1"/>
    <w:rsid w:val="000E0A5B"/>
    <w:rsid w:val="001016C0"/>
    <w:rsid w:val="001539D2"/>
    <w:rsid w:val="00170E21"/>
    <w:rsid w:val="001B4A78"/>
    <w:rsid w:val="001D2D71"/>
    <w:rsid w:val="001D4818"/>
    <w:rsid w:val="0021226E"/>
    <w:rsid w:val="002A5175"/>
    <w:rsid w:val="002B6A0A"/>
    <w:rsid w:val="002B6AB2"/>
    <w:rsid w:val="002E1C62"/>
    <w:rsid w:val="002F6EF6"/>
    <w:rsid w:val="00325922"/>
    <w:rsid w:val="00326891"/>
    <w:rsid w:val="003970FA"/>
    <w:rsid w:val="003A1869"/>
    <w:rsid w:val="003C38EC"/>
    <w:rsid w:val="00421CD2"/>
    <w:rsid w:val="004517C4"/>
    <w:rsid w:val="004F6DF2"/>
    <w:rsid w:val="005028DE"/>
    <w:rsid w:val="0054482F"/>
    <w:rsid w:val="005552C0"/>
    <w:rsid w:val="005559E3"/>
    <w:rsid w:val="00562579"/>
    <w:rsid w:val="005B5961"/>
    <w:rsid w:val="00614260"/>
    <w:rsid w:val="00675E5D"/>
    <w:rsid w:val="00680392"/>
    <w:rsid w:val="0069302A"/>
    <w:rsid w:val="006A7AD0"/>
    <w:rsid w:val="006E2D26"/>
    <w:rsid w:val="006E789D"/>
    <w:rsid w:val="007367AD"/>
    <w:rsid w:val="00757699"/>
    <w:rsid w:val="007A36E1"/>
    <w:rsid w:val="007E53CC"/>
    <w:rsid w:val="00835AC3"/>
    <w:rsid w:val="00847C36"/>
    <w:rsid w:val="0087004D"/>
    <w:rsid w:val="008B1171"/>
    <w:rsid w:val="008B3A23"/>
    <w:rsid w:val="008F1F99"/>
    <w:rsid w:val="00914103"/>
    <w:rsid w:val="00920A89"/>
    <w:rsid w:val="009503CB"/>
    <w:rsid w:val="009A3A66"/>
    <w:rsid w:val="009B6414"/>
    <w:rsid w:val="00A278C0"/>
    <w:rsid w:val="00A31869"/>
    <w:rsid w:val="00A97F95"/>
    <w:rsid w:val="00AD42D1"/>
    <w:rsid w:val="00B170DF"/>
    <w:rsid w:val="00B617AE"/>
    <w:rsid w:val="00B70674"/>
    <w:rsid w:val="00B81273"/>
    <w:rsid w:val="00BD037F"/>
    <w:rsid w:val="00BD0996"/>
    <w:rsid w:val="00C34A16"/>
    <w:rsid w:val="00C8652C"/>
    <w:rsid w:val="00CC75C5"/>
    <w:rsid w:val="00CD25B0"/>
    <w:rsid w:val="00CD5D04"/>
    <w:rsid w:val="00CE7807"/>
    <w:rsid w:val="00CF43B3"/>
    <w:rsid w:val="00D649D7"/>
    <w:rsid w:val="00D91326"/>
    <w:rsid w:val="00DB3CC4"/>
    <w:rsid w:val="00DD4107"/>
    <w:rsid w:val="00DE6FE3"/>
    <w:rsid w:val="00E17893"/>
    <w:rsid w:val="00E213F9"/>
    <w:rsid w:val="00E87629"/>
    <w:rsid w:val="00EC5937"/>
    <w:rsid w:val="00F0468B"/>
    <w:rsid w:val="00F2541C"/>
    <w:rsid w:val="00F32D10"/>
    <w:rsid w:val="00F35829"/>
    <w:rsid w:val="00F7285F"/>
    <w:rsid w:val="00F768A5"/>
    <w:rsid w:val="00F90B0D"/>
    <w:rsid w:val="00FC6049"/>
    <w:rsid w:val="00FF0029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457E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10</Pages>
  <Words>2102</Words>
  <Characters>11985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irena roncevic</cp:lastModifiedBy>
  <cp:revision>9</cp:revision>
  <cp:lastPrinted>2025-01-30T14:58:00Z</cp:lastPrinted>
  <dcterms:created xsi:type="dcterms:W3CDTF">2025-01-20T14:43:00Z</dcterms:created>
  <dcterms:modified xsi:type="dcterms:W3CDTF">2025-01-31T14:16:00Z</dcterms:modified>
</cp:coreProperties>
</file>